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42" w:rsidRPr="004A7E2E" w:rsidRDefault="009B0D2D" w:rsidP="006D2998">
      <w:pPr>
        <w:rPr>
          <w:rFonts w:ascii="Arial" w:hAnsi="Arial" w:cs="Arial"/>
          <w:b/>
          <w:sz w:val="20"/>
          <w:lang w:val="bg-BG" w:eastAsia="bg-BG"/>
        </w:rPr>
      </w:pPr>
      <w:r w:rsidRPr="004A7E2E">
        <w:rPr>
          <w:rFonts w:ascii="Arial" w:hAnsi="Arial" w:cs="Arial"/>
          <w:b/>
          <w:sz w:val="20"/>
          <w:lang w:val="bg-BG" w:eastAsia="bg-BG"/>
        </w:rPr>
        <w:t>Указания по прилагане на чл. 100, ал.6 от Закона за енергетиката</w:t>
      </w:r>
      <w:bookmarkStart w:id="0" w:name="_GoBack"/>
      <w:bookmarkEnd w:id="0"/>
    </w:p>
    <w:p w:rsidR="009B0D2D" w:rsidRDefault="009B0D2D" w:rsidP="006D2998">
      <w:pPr>
        <w:rPr>
          <w:rFonts w:ascii="Arial" w:hAnsi="Arial" w:cs="Arial"/>
          <w:sz w:val="20"/>
          <w:lang w:val="bg-BG" w:eastAsia="bg-BG"/>
        </w:rPr>
      </w:pPr>
    </w:p>
    <w:p w:rsidR="004F147A" w:rsidRDefault="00C365F8" w:rsidP="00A30FAA">
      <w:pPr>
        <w:jc w:val="both"/>
        <w:rPr>
          <w:rFonts w:ascii="Arial" w:hAnsi="Arial" w:cs="Arial"/>
          <w:sz w:val="20"/>
          <w:lang w:val="bg-BG" w:eastAsia="bg-BG"/>
        </w:rPr>
      </w:pPr>
      <w:r>
        <w:rPr>
          <w:rFonts w:ascii="Arial" w:hAnsi="Arial" w:cs="Arial"/>
          <w:sz w:val="20"/>
          <w:lang w:val="bg-BG" w:eastAsia="bg-BG"/>
        </w:rPr>
        <w:t xml:space="preserve">Във връзка с прилагането на чл.100, ал.6 от Закона за енергетиката, изм. и доп. ДВ, бр.38 от 08 май 2018 г., и </w:t>
      </w:r>
      <w:r w:rsidR="004F147A">
        <w:rPr>
          <w:rFonts w:ascii="Arial" w:hAnsi="Arial" w:cs="Arial"/>
          <w:sz w:val="20"/>
          <w:lang w:val="bg-BG" w:eastAsia="bg-BG"/>
        </w:rPr>
        <w:t xml:space="preserve">предвид липсата на изменена поднормативна уредба, </w:t>
      </w:r>
      <w:r>
        <w:rPr>
          <w:rFonts w:ascii="Arial" w:hAnsi="Arial" w:cs="Arial"/>
          <w:sz w:val="20"/>
          <w:lang w:val="bg-BG" w:eastAsia="bg-BG"/>
        </w:rPr>
        <w:t xml:space="preserve">ЕСО </w:t>
      </w:r>
      <w:r w:rsidR="004F147A">
        <w:rPr>
          <w:rFonts w:ascii="Arial" w:hAnsi="Arial" w:cs="Arial"/>
          <w:sz w:val="20"/>
          <w:lang w:val="bg-BG" w:eastAsia="bg-BG"/>
        </w:rPr>
        <w:t>изготви настоящите указания</w:t>
      </w:r>
      <w:r w:rsidR="004F147A" w:rsidRPr="00562F12">
        <w:rPr>
          <w:rFonts w:ascii="Arial" w:hAnsi="Arial" w:cs="Arial"/>
          <w:color w:val="FF0000"/>
          <w:sz w:val="20"/>
          <w:lang w:val="bg-BG" w:eastAsia="bg-BG"/>
        </w:rPr>
        <w:t>,</w:t>
      </w:r>
      <w:r w:rsidR="004F147A">
        <w:rPr>
          <w:rFonts w:ascii="Arial" w:hAnsi="Arial" w:cs="Arial"/>
          <w:sz w:val="20"/>
          <w:lang w:val="bg-BG" w:eastAsia="bg-BG"/>
        </w:rPr>
        <w:t xml:space="preserve"> които да се прилагат до публикуване на измененията в Правилата за търговия с електрическа енергия.</w:t>
      </w:r>
    </w:p>
    <w:p w:rsidR="00AE7BB9" w:rsidRPr="00523440" w:rsidRDefault="00297E92" w:rsidP="00AE7BB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r w:rsidRPr="00297E92">
        <w:rPr>
          <w:rFonts w:ascii="Arial" w:hAnsi="Arial" w:cs="Arial"/>
          <w:sz w:val="20"/>
          <w:lang w:val="bg-BG" w:eastAsia="bg-BG"/>
        </w:rPr>
        <w:t xml:space="preserve">Производителите от ВЕИ и ВЕКП с инсталирана мощност 4 MW и над 4 MW </w:t>
      </w:r>
      <w:r w:rsidR="00F84822" w:rsidRPr="001821CF">
        <w:rPr>
          <w:rFonts w:ascii="Arial" w:hAnsi="Arial" w:cs="Arial"/>
          <w:sz w:val="20"/>
          <w:lang w:val="bg-BG" w:eastAsia="bg-BG"/>
        </w:rPr>
        <w:t>към момента на в</w:t>
      </w:r>
      <w:r w:rsidR="00491287" w:rsidRPr="001821CF">
        <w:rPr>
          <w:rFonts w:ascii="Arial" w:hAnsi="Arial" w:cs="Arial"/>
          <w:sz w:val="20"/>
          <w:lang w:val="bg-BG" w:eastAsia="bg-BG"/>
        </w:rPr>
        <w:t>лизане в сила на договора с Фонд „Сигурност на електроенергийната система“</w:t>
      </w:r>
      <w:r w:rsidR="00F84822" w:rsidRPr="001821CF">
        <w:rPr>
          <w:rFonts w:ascii="Arial" w:hAnsi="Arial" w:cs="Arial"/>
          <w:sz w:val="20"/>
          <w:lang w:val="bg-BG" w:eastAsia="bg-BG"/>
        </w:rPr>
        <w:t xml:space="preserve">, </w:t>
      </w:r>
      <w:r w:rsidRPr="001821CF">
        <w:rPr>
          <w:rFonts w:ascii="Arial" w:hAnsi="Arial" w:cs="Arial"/>
          <w:sz w:val="20"/>
          <w:lang w:val="bg-BG" w:eastAsia="bg-BG"/>
        </w:rPr>
        <w:t xml:space="preserve">следва да променят принадлежността си от специална </w:t>
      </w:r>
      <w:r w:rsidRPr="00297E92">
        <w:rPr>
          <w:rFonts w:ascii="Arial" w:hAnsi="Arial" w:cs="Arial"/>
          <w:sz w:val="20"/>
          <w:lang w:val="bg-BG" w:eastAsia="bg-BG"/>
        </w:rPr>
        <w:t>балансираща група към стандартна</w:t>
      </w:r>
      <w:r w:rsidR="00B525A8">
        <w:rPr>
          <w:rFonts w:ascii="Arial" w:hAnsi="Arial" w:cs="Arial"/>
          <w:sz w:val="20"/>
          <w:lang w:val="en-US" w:eastAsia="bg-BG"/>
        </w:rPr>
        <w:t xml:space="preserve"> </w:t>
      </w:r>
      <w:r w:rsidR="00B525A8">
        <w:rPr>
          <w:rFonts w:ascii="Arial" w:hAnsi="Arial" w:cs="Arial"/>
          <w:sz w:val="20"/>
          <w:lang w:val="bg-BG" w:eastAsia="bg-BG"/>
        </w:rPr>
        <w:t>или комбинирана</w:t>
      </w:r>
      <w:r w:rsidRPr="00297E92">
        <w:rPr>
          <w:rFonts w:ascii="Arial" w:hAnsi="Arial" w:cs="Arial"/>
          <w:sz w:val="20"/>
          <w:lang w:val="bg-BG" w:eastAsia="bg-BG"/>
        </w:rPr>
        <w:t xml:space="preserve"> балансираща група, </w:t>
      </w:r>
      <w:r w:rsidR="00562F12" w:rsidRPr="00523440">
        <w:rPr>
          <w:rFonts w:ascii="Arial" w:hAnsi="Arial" w:cs="Arial"/>
          <w:sz w:val="20"/>
          <w:lang w:val="bg-BG" w:eastAsia="bg-BG"/>
        </w:rPr>
        <w:t xml:space="preserve">чрез подаване на заявление към съответния мрежови оператор, </w:t>
      </w:r>
      <w:r w:rsidRPr="00523440">
        <w:rPr>
          <w:rFonts w:ascii="Arial" w:hAnsi="Arial" w:cs="Arial"/>
          <w:sz w:val="20"/>
          <w:lang w:val="bg-BG" w:eastAsia="bg-BG"/>
        </w:rPr>
        <w:t>при условията и сроковете, регламентирани в чл.103 от ПТЕЕ „Ред за промяна на принадлежността към балансираща група</w:t>
      </w:r>
      <w:r w:rsidRPr="00B525A8">
        <w:rPr>
          <w:rFonts w:ascii="Times New Roman" w:hAnsi="Times New Roman"/>
          <w:bCs/>
          <w:szCs w:val="24"/>
          <w:lang w:val="bg-BG" w:eastAsia="bg-BG"/>
        </w:rPr>
        <w:t>“</w:t>
      </w:r>
      <w:r w:rsidRPr="00B525A8">
        <w:rPr>
          <w:rFonts w:ascii="Times New Roman" w:hAnsi="Times New Roman"/>
          <w:bCs/>
          <w:szCs w:val="24"/>
          <w:lang w:eastAsia="bg-BG"/>
        </w:rPr>
        <w:t>;</w:t>
      </w:r>
    </w:p>
    <w:p w:rsidR="002178BD" w:rsidRPr="00523440" w:rsidRDefault="002178BD" w:rsidP="00AE7BB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 xml:space="preserve">Производителите от ВЕИ, присъединени към преносната електрическа мрежа, които са в специална балансираща група и не са преминали процедурата по регистрация на пазара на електрическа енергия, подават </w:t>
      </w:r>
      <w:r w:rsidR="00562F12" w:rsidRPr="00523440">
        <w:rPr>
          <w:rFonts w:ascii="Arial" w:hAnsi="Arial" w:cs="Arial"/>
          <w:sz w:val="20"/>
          <w:lang w:val="bg-BG" w:eastAsia="bg-BG"/>
        </w:rPr>
        <w:t>З</w:t>
      </w:r>
      <w:r w:rsidRPr="00523440">
        <w:rPr>
          <w:rFonts w:ascii="Arial" w:hAnsi="Arial" w:cs="Arial"/>
          <w:sz w:val="20"/>
          <w:lang w:val="bg-BG" w:eastAsia="bg-BG"/>
        </w:rPr>
        <w:t xml:space="preserve">аявление </w:t>
      </w:r>
      <w:r w:rsidR="00562F12" w:rsidRPr="00523440">
        <w:rPr>
          <w:rFonts w:ascii="Arial" w:hAnsi="Arial" w:cs="Arial"/>
          <w:sz w:val="20"/>
          <w:lang w:val="bg-BG" w:eastAsia="bg-BG"/>
        </w:rPr>
        <w:t>за регистрация на обекти на потребители и производители и Заявление за регистрация на пряк член на стандартна балансираща група по образец, публикуван на сайта на ЕСО в срокове, съгласно Правилата за търговия с електрическа енергия</w:t>
      </w:r>
      <w:r w:rsidR="00562F12" w:rsidRPr="00523440">
        <w:rPr>
          <w:rFonts w:ascii="Arial" w:hAnsi="Arial" w:cs="Arial"/>
          <w:sz w:val="20"/>
          <w:lang w:val="en-US" w:eastAsia="bg-BG"/>
        </w:rPr>
        <w:t>;</w:t>
      </w:r>
    </w:p>
    <w:p w:rsidR="003B6587" w:rsidRDefault="00D572A2" w:rsidP="003B6587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 xml:space="preserve">Координаторите на стандартни </w:t>
      </w:r>
      <w:r w:rsidR="00B525A8">
        <w:rPr>
          <w:rFonts w:ascii="Arial" w:hAnsi="Arial" w:cs="Arial"/>
          <w:sz w:val="20"/>
          <w:lang w:val="bg-BG" w:eastAsia="bg-BG"/>
        </w:rPr>
        <w:t xml:space="preserve">и комбинирани </w:t>
      </w:r>
      <w:r w:rsidRPr="00523440">
        <w:rPr>
          <w:rFonts w:ascii="Arial" w:hAnsi="Arial" w:cs="Arial"/>
          <w:sz w:val="20"/>
          <w:lang w:val="bg-BG" w:eastAsia="bg-BG"/>
        </w:rPr>
        <w:t>балансиращи групи, които имат желание да включат в състава на балансиращата си група подгрупа на производители по т.1, следва да изпратят писмо до ЕСО с искане за регистриране на допълнителен кодов номер на подгрупа на производители по чл.10</w:t>
      </w:r>
      <w:r w:rsidR="00094471" w:rsidRPr="00523440">
        <w:rPr>
          <w:rFonts w:ascii="Arial" w:hAnsi="Arial" w:cs="Arial"/>
          <w:sz w:val="20"/>
          <w:lang w:val="en-US" w:eastAsia="bg-BG"/>
        </w:rPr>
        <w:t>0</w:t>
      </w:r>
      <w:r w:rsidRPr="00523440">
        <w:rPr>
          <w:rFonts w:ascii="Arial" w:hAnsi="Arial" w:cs="Arial"/>
          <w:sz w:val="20"/>
          <w:lang w:val="bg-BG" w:eastAsia="bg-BG"/>
        </w:rPr>
        <w:t>, ал.6 от Закона за енергетиката (</w:t>
      </w:r>
      <w:proofErr w:type="spellStart"/>
      <w:r w:rsidRPr="00523440">
        <w:rPr>
          <w:rFonts w:ascii="Arial" w:hAnsi="Arial" w:cs="Arial"/>
          <w:sz w:val="20"/>
          <w:lang w:val="bg-BG" w:eastAsia="bg-BG"/>
        </w:rPr>
        <w:t>обн</w:t>
      </w:r>
      <w:proofErr w:type="spellEnd"/>
      <w:r w:rsidRPr="00523440">
        <w:rPr>
          <w:rFonts w:ascii="Arial" w:hAnsi="Arial" w:cs="Arial"/>
          <w:sz w:val="20"/>
          <w:lang w:val="bg-BG" w:eastAsia="bg-BG"/>
        </w:rPr>
        <w:t>.ДВ, бр.38/2018);</w:t>
      </w:r>
    </w:p>
    <w:p w:rsidR="00562F12" w:rsidRPr="00523440" w:rsidRDefault="00562F12" w:rsidP="00D572A2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>Непреките членове в балансиращата подгрупа по т.3 се обособяват в отделна подгрупа, която влиза в състава на подгрупата по т.3</w:t>
      </w:r>
      <w:r w:rsidR="00B525A8">
        <w:rPr>
          <w:rFonts w:ascii="Arial" w:hAnsi="Arial" w:cs="Arial"/>
          <w:sz w:val="20"/>
          <w:lang w:val="en-US" w:eastAsia="bg-BG"/>
        </w:rPr>
        <w:t>;</w:t>
      </w:r>
    </w:p>
    <w:p w:rsidR="005C7C41" w:rsidRPr="00523440" w:rsidRDefault="005C7C41" w:rsidP="00D572A2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>В регистр</w:t>
      </w:r>
      <w:r w:rsidR="00DF16FA">
        <w:rPr>
          <w:rFonts w:ascii="Arial" w:hAnsi="Arial" w:cs="Arial"/>
          <w:sz w:val="20"/>
          <w:lang w:val="bg-BG" w:eastAsia="bg-BG"/>
        </w:rPr>
        <w:t>ите</w:t>
      </w:r>
      <w:r w:rsidRPr="00523440">
        <w:rPr>
          <w:rFonts w:ascii="Arial" w:hAnsi="Arial" w:cs="Arial"/>
          <w:sz w:val="20"/>
          <w:lang w:val="bg-BG" w:eastAsia="bg-BG"/>
        </w:rPr>
        <w:t xml:space="preserve"> на координаторите на стандартни </w:t>
      </w:r>
      <w:r w:rsidR="00DF16FA">
        <w:rPr>
          <w:rFonts w:ascii="Arial" w:hAnsi="Arial" w:cs="Arial"/>
          <w:sz w:val="20"/>
          <w:lang w:val="bg-BG" w:eastAsia="bg-BG"/>
        </w:rPr>
        <w:t xml:space="preserve">и комбинирани </w:t>
      </w:r>
      <w:r w:rsidRPr="00523440">
        <w:rPr>
          <w:rFonts w:ascii="Arial" w:hAnsi="Arial" w:cs="Arial"/>
          <w:sz w:val="20"/>
          <w:lang w:val="bg-BG" w:eastAsia="bg-BG"/>
        </w:rPr>
        <w:t>балансиращи групи, публикуван</w:t>
      </w:r>
      <w:r w:rsidR="00DF16FA">
        <w:rPr>
          <w:rFonts w:ascii="Arial" w:hAnsi="Arial" w:cs="Arial"/>
          <w:sz w:val="20"/>
          <w:lang w:val="bg-BG" w:eastAsia="bg-BG"/>
        </w:rPr>
        <w:t>и</w:t>
      </w:r>
      <w:r w:rsidRPr="00523440">
        <w:rPr>
          <w:rFonts w:ascii="Arial" w:hAnsi="Arial" w:cs="Arial"/>
          <w:sz w:val="20"/>
          <w:lang w:val="bg-BG" w:eastAsia="bg-BG"/>
        </w:rPr>
        <w:t xml:space="preserve"> на сайта на ЕСО по чл. </w:t>
      </w:r>
      <w:r w:rsidR="00094471" w:rsidRPr="00523440">
        <w:rPr>
          <w:rFonts w:ascii="Arial" w:hAnsi="Arial" w:cs="Arial"/>
          <w:sz w:val="20"/>
          <w:lang w:val="bg-BG" w:eastAsia="bg-BG"/>
        </w:rPr>
        <w:t>65 от Правилата за търговия с електрическа енергия</w:t>
      </w:r>
      <w:r w:rsidR="00B525A8">
        <w:rPr>
          <w:rFonts w:ascii="Arial" w:hAnsi="Arial" w:cs="Arial"/>
          <w:sz w:val="20"/>
          <w:lang w:val="bg-BG" w:eastAsia="bg-BG"/>
        </w:rPr>
        <w:t>,</w:t>
      </w:r>
      <w:r w:rsidR="00094471" w:rsidRPr="00523440">
        <w:rPr>
          <w:rFonts w:ascii="Arial" w:hAnsi="Arial" w:cs="Arial"/>
          <w:sz w:val="20"/>
          <w:lang w:val="bg-BG" w:eastAsia="bg-BG"/>
        </w:rPr>
        <w:t xml:space="preserve"> се посочва</w:t>
      </w:r>
      <w:r w:rsidR="00562F12" w:rsidRPr="00523440">
        <w:rPr>
          <w:rFonts w:ascii="Arial" w:hAnsi="Arial" w:cs="Arial"/>
          <w:sz w:val="20"/>
          <w:lang w:val="bg-BG" w:eastAsia="bg-BG"/>
        </w:rPr>
        <w:t>т</w:t>
      </w:r>
      <w:r w:rsidR="00094471" w:rsidRPr="00523440">
        <w:rPr>
          <w:rFonts w:ascii="Arial" w:hAnsi="Arial" w:cs="Arial"/>
          <w:sz w:val="20"/>
          <w:lang w:val="bg-BG" w:eastAsia="bg-BG"/>
        </w:rPr>
        <w:t xml:space="preserve"> и допълнителни</w:t>
      </w:r>
      <w:r w:rsidR="00562F12" w:rsidRPr="00523440">
        <w:rPr>
          <w:rFonts w:ascii="Arial" w:hAnsi="Arial" w:cs="Arial"/>
          <w:sz w:val="20"/>
          <w:lang w:val="bg-BG" w:eastAsia="bg-BG"/>
        </w:rPr>
        <w:t>те</w:t>
      </w:r>
      <w:r w:rsidR="00094471" w:rsidRPr="00523440">
        <w:rPr>
          <w:rFonts w:ascii="Arial" w:hAnsi="Arial" w:cs="Arial"/>
          <w:sz w:val="20"/>
          <w:lang w:val="bg-BG" w:eastAsia="bg-BG"/>
        </w:rPr>
        <w:t xml:space="preserve"> кодов</w:t>
      </w:r>
      <w:r w:rsidR="00562F12" w:rsidRPr="00523440">
        <w:rPr>
          <w:rFonts w:ascii="Arial" w:hAnsi="Arial" w:cs="Arial"/>
          <w:sz w:val="20"/>
          <w:lang w:val="bg-BG" w:eastAsia="bg-BG"/>
        </w:rPr>
        <w:t>е</w:t>
      </w:r>
      <w:r w:rsidR="00094471" w:rsidRPr="00523440">
        <w:rPr>
          <w:rFonts w:ascii="Arial" w:hAnsi="Arial" w:cs="Arial"/>
          <w:sz w:val="20"/>
          <w:lang w:val="bg-BG" w:eastAsia="bg-BG"/>
        </w:rPr>
        <w:t xml:space="preserve"> </w:t>
      </w:r>
      <w:r w:rsidR="00562F12" w:rsidRPr="00523440">
        <w:rPr>
          <w:rFonts w:ascii="Arial" w:hAnsi="Arial" w:cs="Arial"/>
          <w:sz w:val="20"/>
          <w:lang w:val="bg-BG" w:eastAsia="bg-BG"/>
        </w:rPr>
        <w:t>по чл.100, ал.6 от Закона за енергетиката</w:t>
      </w:r>
      <w:r w:rsidR="00562F12" w:rsidRPr="00523440">
        <w:rPr>
          <w:rFonts w:ascii="Arial" w:hAnsi="Arial" w:cs="Arial"/>
          <w:sz w:val="20"/>
          <w:lang w:val="en-US" w:eastAsia="bg-BG"/>
        </w:rPr>
        <w:t>;</w:t>
      </w:r>
    </w:p>
    <w:p w:rsidR="009E1056" w:rsidRPr="00523440" w:rsidRDefault="009E1056" w:rsidP="009E1056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>Всички производители от ВЕИ и ВЕКП, независимо от технологията на производство, ще бъдат включени в една подгрупа, от която ще се известяват графици към платформите на БНЕБ;</w:t>
      </w:r>
    </w:p>
    <w:p w:rsidR="005C7C41" w:rsidRPr="00523440" w:rsidRDefault="005C7C41" w:rsidP="005C7C41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 xml:space="preserve">Координаторите на стандартни </w:t>
      </w:r>
      <w:r w:rsidR="00B525A8">
        <w:rPr>
          <w:rFonts w:ascii="Arial" w:hAnsi="Arial" w:cs="Arial"/>
          <w:sz w:val="20"/>
          <w:lang w:val="bg-BG" w:eastAsia="bg-BG"/>
        </w:rPr>
        <w:t xml:space="preserve">и комбинирани </w:t>
      </w:r>
      <w:r w:rsidRPr="00523440">
        <w:rPr>
          <w:rFonts w:ascii="Arial" w:hAnsi="Arial" w:cs="Arial"/>
          <w:sz w:val="20"/>
          <w:lang w:val="bg-BG" w:eastAsia="bg-BG"/>
        </w:rPr>
        <w:t>балансиращи групи следва да подават в справките по чл.67, ал.7 от ПТЕЕ, до три работни дни преди изтичане на календарния месец, отделно приложение със списък на обектите, които са в състава на подгрупата на производители по чл.10</w:t>
      </w:r>
      <w:r w:rsidR="00094471" w:rsidRPr="00523440">
        <w:rPr>
          <w:rFonts w:ascii="Arial" w:hAnsi="Arial" w:cs="Arial"/>
          <w:sz w:val="20"/>
          <w:lang w:val="bg-BG" w:eastAsia="bg-BG"/>
        </w:rPr>
        <w:t>0</w:t>
      </w:r>
      <w:r w:rsidRPr="00523440">
        <w:rPr>
          <w:rFonts w:ascii="Arial" w:hAnsi="Arial" w:cs="Arial"/>
          <w:sz w:val="20"/>
          <w:lang w:val="bg-BG" w:eastAsia="bg-BG"/>
        </w:rPr>
        <w:t>, ал.6 от Закона за енергетиката, считано от следващия календарен месец;</w:t>
      </w:r>
    </w:p>
    <w:p w:rsidR="00FC2A3D" w:rsidRPr="00523440" w:rsidRDefault="00FC2A3D" w:rsidP="00FC2A3D">
      <w:pPr>
        <w:numPr>
          <w:ilvl w:val="0"/>
          <w:numId w:val="18"/>
        </w:numPr>
        <w:contextualSpacing/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 xml:space="preserve">Производителите от ВЕИ и ВЕКП, които се присъединяват към стандартна </w:t>
      </w:r>
      <w:r w:rsidR="00DF16FA">
        <w:rPr>
          <w:rFonts w:ascii="Arial" w:hAnsi="Arial" w:cs="Arial"/>
          <w:sz w:val="20"/>
          <w:lang w:val="bg-BG" w:eastAsia="bg-BG"/>
        </w:rPr>
        <w:t xml:space="preserve">или комбинирана </w:t>
      </w:r>
      <w:r w:rsidRPr="00523440">
        <w:rPr>
          <w:rFonts w:ascii="Arial" w:hAnsi="Arial" w:cs="Arial"/>
          <w:sz w:val="20"/>
          <w:lang w:val="bg-BG" w:eastAsia="bg-BG"/>
        </w:rPr>
        <w:t>балансираща група при условията на чл. 10</w:t>
      </w:r>
      <w:r w:rsidR="00094471" w:rsidRPr="00523440">
        <w:rPr>
          <w:rFonts w:ascii="Arial" w:hAnsi="Arial" w:cs="Arial"/>
          <w:sz w:val="20"/>
          <w:lang w:val="bg-BG" w:eastAsia="bg-BG"/>
        </w:rPr>
        <w:t>0</w:t>
      </w:r>
      <w:r w:rsidRPr="00523440">
        <w:rPr>
          <w:rFonts w:ascii="Arial" w:hAnsi="Arial" w:cs="Arial"/>
          <w:sz w:val="20"/>
          <w:lang w:val="bg-BG" w:eastAsia="bg-BG"/>
        </w:rPr>
        <w:t>, ал.6 от Закона за енергетиката,</w:t>
      </w:r>
      <w:r w:rsidR="00562F12" w:rsidRPr="00523440">
        <w:rPr>
          <w:rFonts w:ascii="Arial" w:hAnsi="Arial" w:cs="Arial"/>
          <w:sz w:val="20"/>
          <w:lang w:val="bg-BG" w:eastAsia="bg-BG"/>
        </w:rPr>
        <w:t xml:space="preserve"> присъединени към преносната електрическа мрежа</w:t>
      </w:r>
      <w:r w:rsidR="00562F12" w:rsidRPr="00523440">
        <w:rPr>
          <w:rFonts w:ascii="Arial" w:hAnsi="Arial" w:cs="Arial"/>
          <w:sz w:val="20"/>
          <w:lang w:val="en-US" w:eastAsia="bg-BG"/>
        </w:rPr>
        <w:t>,</w:t>
      </w:r>
      <w:r w:rsidR="00562F12" w:rsidRPr="00523440">
        <w:rPr>
          <w:rFonts w:ascii="Arial" w:hAnsi="Arial" w:cs="Arial"/>
          <w:sz w:val="20"/>
          <w:lang w:val="bg-BG" w:eastAsia="bg-BG"/>
        </w:rPr>
        <w:t xml:space="preserve"> </w:t>
      </w:r>
      <w:r w:rsidRPr="00523440">
        <w:rPr>
          <w:rFonts w:ascii="Arial" w:hAnsi="Arial" w:cs="Arial"/>
          <w:sz w:val="20"/>
          <w:lang w:val="bg-BG" w:eastAsia="bg-BG"/>
        </w:rPr>
        <w:t>подават декларация по образец, публикуван на сайта на ЕСО, в която изрично посочват присъединяване към подгрупата на координатор по т.</w:t>
      </w:r>
      <w:r w:rsidR="00562F12" w:rsidRPr="00523440">
        <w:rPr>
          <w:rFonts w:ascii="Arial" w:hAnsi="Arial" w:cs="Arial"/>
          <w:sz w:val="20"/>
          <w:lang w:val="en-US" w:eastAsia="bg-BG"/>
        </w:rPr>
        <w:t>3</w:t>
      </w:r>
      <w:r w:rsidRPr="00523440">
        <w:rPr>
          <w:rFonts w:ascii="Arial" w:hAnsi="Arial" w:cs="Arial"/>
          <w:sz w:val="20"/>
          <w:lang w:val="bg-BG" w:eastAsia="bg-BG"/>
        </w:rPr>
        <w:t>;</w:t>
      </w:r>
    </w:p>
    <w:p w:rsidR="00FC5982" w:rsidRPr="00523440" w:rsidRDefault="00A920E6" w:rsidP="00AE7BB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proofErr w:type="spellStart"/>
      <w:r w:rsidRPr="00523440">
        <w:rPr>
          <w:rFonts w:ascii="Arial" w:hAnsi="Arial" w:cs="Arial"/>
          <w:sz w:val="20"/>
          <w:lang w:val="bg-BG" w:eastAsia="bg-BG"/>
        </w:rPr>
        <w:t>Агрегирани</w:t>
      </w:r>
      <w:r w:rsidR="006C1EED" w:rsidRPr="00523440">
        <w:rPr>
          <w:rFonts w:ascii="Arial" w:hAnsi="Arial" w:cs="Arial"/>
          <w:sz w:val="20"/>
          <w:lang w:val="bg-BG" w:eastAsia="bg-BG"/>
        </w:rPr>
        <w:t>ят</w:t>
      </w:r>
      <w:proofErr w:type="spellEnd"/>
      <w:r w:rsidRPr="00523440">
        <w:rPr>
          <w:rFonts w:ascii="Arial" w:hAnsi="Arial" w:cs="Arial"/>
          <w:sz w:val="20"/>
          <w:lang w:val="bg-BG" w:eastAsia="bg-BG"/>
        </w:rPr>
        <w:t xml:space="preserve"> графи</w:t>
      </w:r>
      <w:r w:rsidR="006C1EED" w:rsidRPr="00523440">
        <w:rPr>
          <w:rFonts w:ascii="Arial" w:hAnsi="Arial" w:cs="Arial"/>
          <w:sz w:val="20"/>
          <w:lang w:val="bg-BG" w:eastAsia="bg-BG"/>
        </w:rPr>
        <w:t>к</w:t>
      </w:r>
      <w:r w:rsidRPr="00523440">
        <w:rPr>
          <w:rFonts w:ascii="Arial" w:hAnsi="Arial" w:cs="Arial"/>
          <w:sz w:val="20"/>
          <w:lang w:val="bg-BG" w:eastAsia="bg-BG"/>
        </w:rPr>
        <w:t xml:space="preserve"> от кодовия номер на подгрупата по т.</w:t>
      </w:r>
      <w:r w:rsidR="00FC5982" w:rsidRPr="00523440">
        <w:rPr>
          <w:rFonts w:ascii="Arial" w:hAnsi="Arial" w:cs="Arial"/>
          <w:sz w:val="20"/>
          <w:lang w:val="bg-BG" w:eastAsia="bg-BG"/>
        </w:rPr>
        <w:t>3</w:t>
      </w:r>
      <w:r w:rsidRPr="00523440">
        <w:rPr>
          <w:rFonts w:ascii="Arial" w:hAnsi="Arial" w:cs="Arial"/>
          <w:sz w:val="20"/>
          <w:lang w:val="bg-BG" w:eastAsia="bg-BG"/>
        </w:rPr>
        <w:t xml:space="preserve"> към платформите на БНЕБ се разпределя </w:t>
      </w:r>
      <w:r w:rsidR="00013271" w:rsidRPr="00523440">
        <w:rPr>
          <w:rFonts w:ascii="Arial" w:hAnsi="Arial" w:cs="Arial"/>
          <w:sz w:val="20"/>
          <w:lang w:val="bg-BG" w:eastAsia="bg-BG"/>
        </w:rPr>
        <w:t xml:space="preserve">в системите за администриране на пазара на ЕСО </w:t>
      </w:r>
      <w:r w:rsidRPr="00523440">
        <w:rPr>
          <w:rFonts w:ascii="Arial" w:hAnsi="Arial" w:cs="Arial"/>
          <w:sz w:val="20"/>
          <w:lang w:val="bg-BG" w:eastAsia="bg-BG"/>
        </w:rPr>
        <w:t xml:space="preserve">чрез регистриране на </w:t>
      </w:r>
      <w:r w:rsidR="00013271">
        <w:rPr>
          <w:rFonts w:ascii="Arial" w:hAnsi="Arial" w:cs="Arial"/>
          <w:sz w:val="20"/>
          <w:lang w:val="bg-BG" w:eastAsia="bg-BG"/>
        </w:rPr>
        <w:t xml:space="preserve">нетни </w:t>
      </w:r>
      <w:r w:rsidRPr="00523440">
        <w:rPr>
          <w:rFonts w:ascii="Arial" w:hAnsi="Arial" w:cs="Arial"/>
          <w:sz w:val="20"/>
          <w:lang w:val="bg-BG" w:eastAsia="bg-BG"/>
        </w:rPr>
        <w:t>графи</w:t>
      </w:r>
      <w:r w:rsidR="00013271">
        <w:rPr>
          <w:rFonts w:ascii="Arial" w:hAnsi="Arial" w:cs="Arial"/>
          <w:sz w:val="20"/>
          <w:lang w:val="bg-BG" w:eastAsia="bg-BG"/>
        </w:rPr>
        <w:t>ци</w:t>
      </w:r>
      <w:r w:rsidRPr="00523440">
        <w:rPr>
          <w:rFonts w:ascii="Arial" w:hAnsi="Arial" w:cs="Arial"/>
          <w:sz w:val="20"/>
          <w:lang w:val="bg-BG" w:eastAsia="bg-BG"/>
        </w:rPr>
        <w:t xml:space="preserve"> за обмен </w:t>
      </w:r>
      <w:r w:rsidR="00013271" w:rsidRPr="00523440">
        <w:rPr>
          <w:rFonts w:ascii="Arial" w:hAnsi="Arial" w:cs="Arial"/>
          <w:sz w:val="20"/>
          <w:lang w:val="bg-BG" w:eastAsia="bg-BG"/>
        </w:rPr>
        <w:t>между координатора на подгрупата по т.3 и обектите на производители от ВЕИ и ВЕКП</w:t>
      </w:r>
      <w:r w:rsidR="00FC5982" w:rsidRPr="00523440">
        <w:rPr>
          <w:rFonts w:ascii="Arial" w:hAnsi="Arial" w:cs="Arial"/>
          <w:sz w:val="20"/>
          <w:lang w:val="en-US" w:eastAsia="bg-BG"/>
        </w:rPr>
        <w:t>;</w:t>
      </w:r>
    </w:p>
    <w:p w:rsidR="00924E7A" w:rsidRPr="00523440" w:rsidRDefault="00924E7A" w:rsidP="00AE7BB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 xml:space="preserve">Системите за администриране на пазара на ЕСО са системата </w:t>
      </w:r>
      <w:r w:rsidRPr="00523440">
        <w:rPr>
          <w:rFonts w:ascii="Arial" w:hAnsi="Arial" w:cs="Arial"/>
          <w:sz w:val="20"/>
          <w:lang w:val="en-US" w:eastAsia="bg-BG"/>
        </w:rPr>
        <w:t xml:space="preserve">MMS, </w:t>
      </w:r>
      <w:r w:rsidRPr="00523440">
        <w:rPr>
          <w:rFonts w:ascii="Arial" w:hAnsi="Arial" w:cs="Arial"/>
          <w:sz w:val="20"/>
          <w:lang w:val="bg-BG" w:eastAsia="bg-BG"/>
        </w:rPr>
        <w:t xml:space="preserve">в която постъпват графици в деня преди доставката и платформата </w:t>
      </w:r>
      <w:r w:rsidR="00763DB0" w:rsidRPr="00523440">
        <w:rPr>
          <w:rFonts w:ascii="Arial" w:hAnsi="Arial" w:cs="Arial"/>
          <w:sz w:val="20"/>
          <w:lang w:val="bg-BG" w:eastAsia="bg-BG"/>
        </w:rPr>
        <w:t>за администриране на пазара в рамките на деня, достъпни от сайта на ЕСО</w:t>
      </w:r>
      <w:r w:rsidR="00763DB0" w:rsidRPr="00523440">
        <w:rPr>
          <w:rFonts w:ascii="Arial" w:hAnsi="Arial" w:cs="Arial"/>
          <w:sz w:val="20"/>
          <w:lang w:val="en-US" w:eastAsia="bg-BG"/>
        </w:rPr>
        <w:t>;</w:t>
      </w:r>
      <w:r w:rsidRPr="00523440">
        <w:rPr>
          <w:rFonts w:ascii="Arial" w:hAnsi="Arial" w:cs="Arial"/>
          <w:sz w:val="20"/>
          <w:lang w:val="en-US" w:eastAsia="bg-BG"/>
        </w:rPr>
        <w:t xml:space="preserve"> </w:t>
      </w:r>
    </w:p>
    <w:p w:rsidR="009B707C" w:rsidRPr="00523440" w:rsidRDefault="00A920E6" w:rsidP="00AE7BB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 xml:space="preserve">Сроковете за регистриране на графиците </w:t>
      </w:r>
      <w:r w:rsidR="001613C9" w:rsidRPr="00523440">
        <w:rPr>
          <w:rFonts w:ascii="Arial" w:hAnsi="Arial" w:cs="Arial"/>
          <w:sz w:val="20"/>
          <w:lang w:val="bg-BG" w:eastAsia="bg-BG"/>
        </w:rPr>
        <w:t xml:space="preserve">към обектите на производители от ВЕИ и ВЕКП </w:t>
      </w:r>
      <w:r w:rsidRPr="00523440">
        <w:rPr>
          <w:rFonts w:ascii="Arial" w:hAnsi="Arial" w:cs="Arial"/>
          <w:sz w:val="20"/>
          <w:lang w:val="bg-BG" w:eastAsia="bg-BG"/>
        </w:rPr>
        <w:t>по т.</w:t>
      </w:r>
      <w:r w:rsidR="00E9641E">
        <w:rPr>
          <w:rFonts w:ascii="Arial" w:hAnsi="Arial" w:cs="Arial"/>
          <w:sz w:val="20"/>
          <w:lang w:val="bg-BG" w:eastAsia="bg-BG"/>
        </w:rPr>
        <w:t>10</w:t>
      </w:r>
      <w:r w:rsidRPr="00523440">
        <w:rPr>
          <w:rFonts w:ascii="Arial" w:hAnsi="Arial" w:cs="Arial"/>
          <w:sz w:val="20"/>
          <w:lang w:val="bg-BG" w:eastAsia="bg-BG"/>
        </w:rPr>
        <w:t xml:space="preserve"> е съгласно Графика за изпълнение на дейностите </w:t>
      </w:r>
      <w:r w:rsidR="009B707C" w:rsidRPr="00523440">
        <w:rPr>
          <w:rFonts w:ascii="Arial" w:hAnsi="Arial" w:cs="Arial"/>
          <w:sz w:val="20"/>
          <w:lang w:val="bg-BG" w:eastAsia="bg-BG"/>
        </w:rPr>
        <w:t xml:space="preserve">и обмен на информация в системите за </w:t>
      </w:r>
      <w:proofErr w:type="spellStart"/>
      <w:r w:rsidR="009B707C" w:rsidRPr="00523440">
        <w:rPr>
          <w:rFonts w:ascii="Arial" w:hAnsi="Arial" w:cs="Arial"/>
          <w:sz w:val="20"/>
          <w:lang w:val="bg-BG" w:eastAsia="bg-BG"/>
        </w:rPr>
        <w:t>администиране</w:t>
      </w:r>
      <w:proofErr w:type="spellEnd"/>
      <w:r w:rsidR="009B707C" w:rsidRPr="00523440">
        <w:rPr>
          <w:rFonts w:ascii="Arial" w:hAnsi="Arial" w:cs="Arial"/>
          <w:sz w:val="20"/>
          <w:lang w:val="bg-BG" w:eastAsia="bg-BG"/>
        </w:rPr>
        <w:t xml:space="preserve"> на пазара за пазарен сегмент „ден напред“ и „в рамките на деня“</w:t>
      </w:r>
      <w:r w:rsidR="009B707C" w:rsidRPr="00523440">
        <w:rPr>
          <w:rFonts w:ascii="Arial" w:hAnsi="Arial" w:cs="Arial"/>
          <w:sz w:val="20"/>
          <w:lang w:val="en-US" w:eastAsia="bg-BG"/>
        </w:rPr>
        <w:t xml:space="preserve">, </w:t>
      </w:r>
      <w:r w:rsidR="009B707C" w:rsidRPr="00523440">
        <w:rPr>
          <w:rFonts w:ascii="Arial" w:hAnsi="Arial" w:cs="Arial"/>
          <w:sz w:val="20"/>
          <w:lang w:val="bg-BG" w:eastAsia="bg-BG"/>
        </w:rPr>
        <w:t>публикуван на сайта на ЕСО</w:t>
      </w:r>
      <w:r w:rsidR="009B707C" w:rsidRPr="00523440">
        <w:rPr>
          <w:rFonts w:ascii="Arial" w:hAnsi="Arial" w:cs="Arial"/>
          <w:sz w:val="20"/>
          <w:lang w:val="en-US" w:eastAsia="bg-BG"/>
        </w:rPr>
        <w:t>;</w:t>
      </w:r>
    </w:p>
    <w:p w:rsidR="00A920E6" w:rsidRPr="00523440" w:rsidRDefault="009B707C" w:rsidP="00AE7BB9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>Брутните графици се изпращат съгласно изискванията на Правилата за търговия с електрическа енергия</w:t>
      </w:r>
      <w:r w:rsidR="00FC5982" w:rsidRPr="00523440">
        <w:rPr>
          <w:rFonts w:ascii="Arial" w:hAnsi="Arial" w:cs="Arial"/>
          <w:sz w:val="20"/>
          <w:lang w:val="en-US" w:eastAsia="bg-BG"/>
        </w:rPr>
        <w:t xml:space="preserve"> </w:t>
      </w:r>
      <w:r w:rsidR="00FC5982" w:rsidRPr="00523440">
        <w:rPr>
          <w:rFonts w:ascii="Arial" w:hAnsi="Arial" w:cs="Arial"/>
          <w:sz w:val="20"/>
          <w:lang w:val="bg-BG" w:eastAsia="bg-BG"/>
        </w:rPr>
        <w:t xml:space="preserve">и </w:t>
      </w:r>
      <w:r w:rsidR="00855AE1" w:rsidRPr="00523440">
        <w:rPr>
          <w:rFonts w:ascii="Arial" w:hAnsi="Arial" w:cs="Arial"/>
          <w:sz w:val="20"/>
          <w:lang w:val="bg-BG" w:eastAsia="bg-BG"/>
        </w:rPr>
        <w:t xml:space="preserve">Инструкция за известяване и </w:t>
      </w:r>
      <w:proofErr w:type="spellStart"/>
      <w:r w:rsidR="00855AE1" w:rsidRPr="00523440">
        <w:rPr>
          <w:rFonts w:ascii="Arial" w:hAnsi="Arial" w:cs="Arial"/>
          <w:sz w:val="20"/>
          <w:lang w:val="bg-BG" w:eastAsia="bg-BG"/>
        </w:rPr>
        <w:t>валидиране</w:t>
      </w:r>
      <w:proofErr w:type="spellEnd"/>
      <w:r w:rsidR="00855AE1" w:rsidRPr="00523440">
        <w:rPr>
          <w:rFonts w:ascii="Arial" w:hAnsi="Arial" w:cs="Arial"/>
          <w:sz w:val="20"/>
          <w:lang w:val="bg-BG" w:eastAsia="bg-BG"/>
        </w:rPr>
        <w:t xml:space="preserve"> на търговски и производствени графици в рамките на деня</w:t>
      </w:r>
      <w:r w:rsidRPr="00523440">
        <w:rPr>
          <w:rFonts w:ascii="Arial" w:hAnsi="Arial" w:cs="Arial"/>
          <w:sz w:val="20"/>
          <w:lang w:val="en-US" w:eastAsia="bg-BG"/>
        </w:rPr>
        <w:t>;</w:t>
      </w:r>
    </w:p>
    <w:p w:rsidR="004926A0" w:rsidRPr="00523440" w:rsidRDefault="004926A0" w:rsidP="004926A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 xml:space="preserve">Преминаването на обекти на производители от ВЕИ и ВЕКП от </w:t>
      </w:r>
      <w:r w:rsidR="00855AE1" w:rsidRPr="00523440">
        <w:rPr>
          <w:rFonts w:ascii="Arial" w:hAnsi="Arial" w:cs="Arial"/>
          <w:sz w:val="20"/>
          <w:lang w:val="bg-BG" w:eastAsia="bg-BG"/>
        </w:rPr>
        <w:t>под</w:t>
      </w:r>
      <w:r w:rsidRPr="00523440">
        <w:rPr>
          <w:rFonts w:ascii="Arial" w:hAnsi="Arial" w:cs="Arial"/>
          <w:sz w:val="20"/>
          <w:lang w:val="bg-BG" w:eastAsia="bg-BG"/>
        </w:rPr>
        <w:t xml:space="preserve">групата на един координатор към друг, ще се извършва </w:t>
      </w:r>
      <w:r w:rsidR="0091611C" w:rsidRPr="00523440">
        <w:rPr>
          <w:rFonts w:ascii="Arial" w:hAnsi="Arial" w:cs="Arial"/>
          <w:sz w:val="20"/>
          <w:lang w:val="bg-BG" w:eastAsia="bg-BG"/>
        </w:rPr>
        <w:t xml:space="preserve">съгласно Правилата за търговия с електрическа енергия и реда за </w:t>
      </w:r>
      <w:r w:rsidRPr="00523440">
        <w:rPr>
          <w:rFonts w:ascii="Arial" w:hAnsi="Arial" w:cs="Arial"/>
          <w:sz w:val="20"/>
          <w:lang w:val="bg-BG" w:eastAsia="bg-BG"/>
        </w:rPr>
        <w:t>смяна на координатор</w:t>
      </w:r>
      <w:r w:rsidR="00BE5DE8" w:rsidRPr="00523440">
        <w:rPr>
          <w:rFonts w:ascii="Arial" w:hAnsi="Arial" w:cs="Arial"/>
          <w:sz w:val="20"/>
          <w:lang w:val="en-US" w:eastAsia="bg-BG"/>
        </w:rPr>
        <w:t>;</w:t>
      </w:r>
    </w:p>
    <w:p w:rsidR="004926A0" w:rsidRPr="00523440" w:rsidRDefault="004926A0" w:rsidP="004926A0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lang w:val="bg-BG" w:eastAsia="bg-BG"/>
        </w:rPr>
      </w:pPr>
      <w:r w:rsidRPr="00523440">
        <w:rPr>
          <w:rFonts w:ascii="Arial" w:hAnsi="Arial" w:cs="Arial"/>
          <w:sz w:val="20"/>
          <w:lang w:val="bg-BG" w:eastAsia="bg-BG"/>
        </w:rPr>
        <w:t>Производителите от ВЕИ и ВЕКП с инсталирана мощност 4 MW</w:t>
      </w:r>
      <w:r w:rsidR="00901911" w:rsidRPr="00523440">
        <w:rPr>
          <w:rFonts w:ascii="Arial" w:hAnsi="Arial" w:cs="Arial"/>
          <w:sz w:val="20"/>
          <w:lang w:val="bg-BG" w:eastAsia="bg-BG"/>
        </w:rPr>
        <w:t xml:space="preserve"> и над 4 MW</w:t>
      </w:r>
      <w:r w:rsidRPr="00523440">
        <w:rPr>
          <w:rFonts w:ascii="Arial" w:hAnsi="Arial" w:cs="Arial"/>
          <w:sz w:val="20"/>
          <w:lang w:val="bg-BG" w:eastAsia="bg-BG"/>
        </w:rPr>
        <w:t xml:space="preserve">, </w:t>
      </w:r>
      <w:r w:rsidRPr="00523440">
        <w:rPr>
          <w:rFonts w:ascii="Arial" w:hAnsi="Arial" w:cs="Arial" w:hint="eastAsia"/>
          <w:sz w:val="20"/>
          <w:lang w:val="bg-BG" w:eastAsia="bg-BG"/>
        </w:rPr>
        <w:t>присъединени</w:t>
      </w:r>
      <w:r w:rsidRPr="00523440">
        <w:rPr>
          <w:rFonts w:ascii="Arial" w:hAnsi="Arial" w:cs="Arial"/>
          <w:sz w:val="20"/>
          <w:lang w:val="bg-BG" w:eastAsia="bg-BG"/>
        </w:rPr>
        <w:t xml:space="preserve"> </w:t>
      </w:r>
      <w:r w:rsidRPr="00523440">
        <w:rPr>
          <w:rFonts w:ascii="Arial" w:hAnsi="Arial" w:cs="Arial" w:hint="eastAsia"/>
          <w:sz w:val="20"/>
          <w:lang w:val="bg-BG" w:eastAsia="bg-BG"/>
        </w:rPr>
        <w:t>към</w:t>
      </w:r>
      <w:r w:rsidRPr="00523440">
        <w:rPr>
          <w:rFonts w:ascii="Arial" w:hAnsi="Arial" w:cs="Arial"/>
          <w:sz w:val="20"/>
          <w:lang w:val="bg-BG" w:eastAsia="bg-BG"/>
        </w:rPr>
        <w:t xml:space="preserve"> </w:t>
      </w:r>
      <w:r w:rsidRPr="00523440">
        <w:rPr>
          <w:rFonts w:ascii="Arial" w:hAnsi="Arial" w:cs="Arial" w:hint="eastAsia"/>
          <w:sz w:val="20"/>
          <w:lang w:val="bg-BG" w:eastAsia="bg-BG"/>
        </w:rPr>
        <w:t>преносната</w:t>
      </w:r>
      <w:r w:rsidRPr="00523440">
        <w:rPr>
          <w:rFonts w:ascii="Arial" w:hAnsi="Arial" w:cs="Arial"/>
          <w:sz w:val="20"/>
          <w:lang w:val="bg-BG" w:eastAsia="bg-BG"/>
        </w:rPr>
        <w:t xml:space="preserve"> </w:t>
      </w:r>
      <w:r w:rsidRPr="00523440">
        <w:rPr>
          <w:rFonts w:ascii="Arial" w:hAnsi="Arial" w:cs="Arial" w:hint="eastAsia"/>
          <w:sz w:val="20"/>
          <w:lang w:val="bg-BG" w:eastAsia="bg-BG"/>
        </w:rPr>
        <w:t>електрическа</w:t>
      </w:r>
      <w:r w:rsidRPr="00523440">
        <w:rPr>
          <w:rFonts w:ascii="Arial" w:hAnsi="Arial" w:cs="Arial"/>
          <w:sz w:val="20"/>
          <w:lang w:val="bg-BG" w:eastAsia="bg-BG"/>
        </w:rPr>
        <w:t xml:space="preserve"> </w:t>
      </w:r>
      <w:r w:rsidRPr="00523440">
        <w:rPr>
          <w:rFonts w:ascii="Arial" w:hAnsi="Arial" w:cs="Arial" w:hint="eastAsia"/>
          <w:sz w:val="20"/>
          <w:lang w:val="bg-BG" w:eastAsia="bg-BG"/>
        </w:rPr>
        <w:t>мрежа</w:t>
      </w:r>
      <w:r w:rsidR="0091611C" w:rsidRPr="00523440">
        <w:rPr>
          <w:rFonts w:ascii="Arial" w:hAnsi="Arial" w:cs="Arial"/>
          <w:sz w:val="20"/>
          <w:lang w:val="bg-BG" w:eastAsia="bg-BG"/>
        </w:rPr>
        <w:t>,</w:t>
      </w:r>
      <w:r w:rsidRPr="00523440">
        <w:rPr>
          <w:rFonts w:ascii="Arial" w:hAnsi="Arial" w:cs="Arial"/>
          <w:sz w:val="20"/>
          <w:lang w:val="bg-BG" w:eastAsia="bg-BG"/>
        </w:rPr>
        <w:t xml:space="preserve"> могат да се регистрират и самостоятелно на платформите на БНЕБ, като в този случай </w:t>
      </w:r>
      <w:r w:rsidR="005E1F39" w:rsidRPr="00523440">
        <w:rPr>
          <w:rFonts w:ascii="Arial" w:hAnsi="Arial" w:cs="Arial"/>
          <w:sz w:val="20"/>
          <w:lang w:val="bg-BG" w:eastAsia="bg-BG"/>
        </w:rPr>
        <w:t xml:space="preserve">тези указания </w:t>
      </w:r>
      <w:r w:rsidR="004F7863" w:rsidRPr="00523440">
        <w:rPr>
          <w:rFonts w:ascii="Arial" w:hAnsi="Arial" w:cs="Arial"/>
          <w:sz w:val="20"/>
          <w:lang w:val="bg-BG" w:eastAsia="bg-BG"/>
        </w:rPr>
        <w:t>за т</w:t>
      </w:r>
      <w:r w:rsidR="0091611C" w:rsidRPr="00523440">
        <w:rPr>
          <w:rFonts w:ascii="Arial" w:hAnsi="Arial" w:cs="Arial"/>
          <w:sz w:val="20"/>
          <w:lang w:val="bg-BG" w:eastAsia="bg-BG"/>
        </w:rPr>
        <w:t>ях не се прилага</w:t>
      </w:r>
      <w:r w:rsidR="005E1F39" w:rsidRPr="00523440">
        <w:rPr>
          <w:rFonts w:ascii="Arial" w:hAnsi="Arial" w:cs="Arial"/>
          <w:sz w:val="20"/>
          <w:lang w:val="bg-BG" w:eastAsia="bg-BG"/>
        </w:rPr>
        <w:t>т</w:t>
      </w:r>
      <w:r w:rsidRPr="00523440">
        <w:rPr>
          <w:rFonts w:ascii="Arial" w:hAnsi="Arial" w:cs="Arial"/>
          <w:sz w:val="20"/>
          <w:lang w:val="bg-BG" w:eastAsia="bg-BG"/>
        </w:rPr>
        <w:t>.</w:t>
      </w:r>
    </w:p>
    <w:p w:rsidR="004926A0" w:rsidRPr="00523440" w:rsidRDefault="004926A0" w:rsidP="00901911">
      <w:pPr>
        <w:pStyle w:val="ListParagraph"/>
        <w:jc w:val="both"/>
        <w:rPr>
          <w:rFonts w:ascii="Arial" w:hAnsi="Arial" w:cs="Arial"/>
          <w:sz w:val="20"/>
          <w:lang w:val="bg-BG" w:eastAsia="bg-BG"/>
        </w:rPr>
      </w:pPr>
    </w:p>
    <w:sectPr w:rsidR="004926A0" w:rsidRPr="00523440" w:rsidSect="007E7BA9">
      <w:pgSz w:w="11906" w:h="16838"/>
      <w:pgMar w:top="1134" w:right="127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BA9"/>
    <w:multiLevelType w:val="hybridMultilevel"/>
    <w:tmpl w:val="5A04D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863"/>
    <w:multiLevelType w:val="hybridMultilevel"/>
    <w:tmpl w:val="103C53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E74"/>
    <w:multiLevelType w:val="hybridMultilevel"/>
    <w:tmpl w:val="11B22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31E1E"/>
    <w:multiLevelType w:val="hybridMultilevel"/>
    <w:tmpl w:val="54F83F1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3195B"/>
    <w:multiLevelType w:val="hybridMultilevel"/>
    <w:tmpl w:val="00F403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052"/>
    <w:multiLevelType w:val="hybridMultilevel"/>
    <w:tmpl w:val="A1D88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9566D"/>
    <w:multiLevelType w:val="hybridMultilevel"/>
    <w:tmpl w:val="8084CD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5655"/>
    <w:multiLevelType w:val="hybridMultilevel"/>
    <w:tmpl w:val="75E20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4480C"/>
    <w:multiLevelType w:val="hybridMultilevel"/>
    <w:tmpl w:val="69707C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7585A"/>
    <w:multiLevelType w:val="hybridMultilevel"/>
    <w:tmpl w:val="71E4A6B0"/>
    <w:lvl w:ilvl="0" w:tplc="0402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64E4727"/>
    <w:multiLevelType w:val="hybridMultilevel"/>
    <w:tmpl w:val="90D48C5E"/>
    <w:lvl w:ilvl="0" w:tplc="3DF2D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7F1B59"/>
    <w:multiLevelType w:val="hybridMultilevel"/>
    <w:tmpl w:val="438E25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744B2"/>
    <w:multiLevelType w:val="hybridMultilevel"/>
    <w:tmpl w:val="265A9AC0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6AF0A99"/>
    <w:multiLevelType w:val="hybridMultilevel"/>
    <w:tmpl w:val="C1F46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531FF"/>
    <w:multiLevelType w:val="hybridMultilevel"/>
    <w:tmpl w:val="9942086E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ECF5038"/>
    <w:multiLevelType w:val="hybridMultilevel"/>
    <w:tmpl w:val="769CBB62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5C8565E"/>
    <w:multiLevelType w:val="hybridMultilevel"/>
    <w:tmpl w:val="019E82C6"/>
    <w:lvl w:ilvl="0" w:tplc="7E3892D8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>
    <w:nsid w:val="777929E5"/>
    <w:multiLevelType w:val="hybridMultilevel"/>
    <w:tmpl w:val="D696EB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7931CCC"/>
    <w:multiLevelType w:val="hybridMultilevel"/>
    <w:tmpl w:val="DDBADCFC"/>
    <w:lvl w:ilvl="0" w:tplc="0402000F">
      <w:start w:val="1"/>
      <w:numFmt w:val="decimal"/>
      <w:lvlText w:val="%1."/>
      <w:lvlJc w:val="left"/>
      <w:pPr>
        <w:ind w:left="950" w:hanging="360"/>
      </w:pPr>
    </w:lvl>
    <w:lvl w:ilvl="1" w:tplc="04020019" w:tentative="1">
      <w:start w:val="1"/>
      <w:numFmt w:val="lowerLetter"/>
      <w:lvlText w:val="%2."/>
      <w:lvlJc w:val="left"/>
      <w:pPr>
        <w:ind w:left="1670" w:hanging="360"/>
      </w:pPr>
    </w:lvl>
    <w:lvl w:ilvl="2" w:tplc="0402001B" w:tentative="1">
      <w:start w:val="1"/>
      <w:numFmt w:val="lowerRoman"/>
      <w:lvlText w:val="%3."/>
      <w:lvlJc w:val="right"/>
      <w:pPr>
        <w:ind w:left="2390" w:hanging="180"/>
      </w:pPr>
    </w:lvl>
    <w:lvl w:ilvl="3" w:tplc="0402000F" w:tentative="1">
      <w:start w:val="1"/>
      <w:numFmt w:val="decimal"/>
      <w:lvlText w:val="%4."/>
      <w:lvlJc w:val="left"/>
      <w:pPr>
        <w:ind w:left="3110" w:hanging="360"/>
      </w:pPr>
    </w:lvl>
    <w:lvl w:ilvl="4" w:tplc="04020019" w:tentative="1">
      <w:start w:val="1"/>
      <w:numFmt w:val="lowerLetter"/>
      <w:lvlText w:val="%5."/>
      <w:lvlJc w:val="left"/>
      <w:pPr>
        <w:ind w:left="3830" w:hanging="360"/>
      </w:pPr>
    </w:lvl>
    <w:lvl w:ilvl="5" w:tplc="0402001B" w:tentative="1">
      <w:start w:val="1"/>
      <w:numFmt w:val="lowerRoman"/>
      <w:lvlText w:val="%6."/>
      <w:lvlJc w:val="right"/>
      <w:pPr>
        <w:ind w:left="4550" w:hanging="180"/>
      </w:pPr>
    </w:lvl>
    <w:lvl w:ilvl="6" w:tplc="0402000F" w:tentative="1">
      <w:start w:val="1"/>
      <w:numFmt w:val="decimal"/>
      <w:lvlText w:val="%7."/>
      <w:lvlJc w:val="left"/>
      <w:pPr>
        <w:ind w:left="5270" w:hanging="360"/>
      </w:pPr>
    </w:lvl>
    <w:lvl w:ilvl="7" w:tplc="04020019" w:tentative="1">
      <w:start w:val="1"/>
      <w:numFmt w:val="lowerLetter"/>
      <w:lvlText w:val="%8."/>
      <w:lvlJc w:val="left"/>
      <w:pPr>
        <w:ind w:left="5990" w:hanging="360"/>
      </w:pPr>
    </w:lvl>
    <w:lvl w:ilvl="8" w:tplc="0402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6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E"/>
    <w:rsid w:val="00010520"/>
    <w:rsid w:val="00013271"/>
    <w:rsid w:val="000148EE"/>
    <w:rsid w:val="00016C0C"/>
    <w:rsid w:val="00020CA0"/>
    <w:rsid w:val="00047062"/>
    <w:rsid w:val="00051672"/>
    <w:rsid w:val="000578F4"/>
    <w:rsid w:val="00062E1C"/>
    <w:rsid w:val="00064A54"/>
    <w:rsid w:val="00072E00"/>
    <w:rsid w:val="0007421D"/>
    <w:rsid w:val="00094471"/>
    <w:rsid w:val="000A3852"/>
    <w:rsid w:val="000A63BF"/>
    <w:rsid w:val="000B0C34"/>
    <w:rsid w:val="000B61D4"/>
    <w:rsid w:val="000B750A"/>
    <w:rsid w:val="000C5514"/>
    <w:rsid w:val="000D1F08"/>
    <w:rsid w:val="000D4E71"/>
    <w:rsid w:val="000D6EAC"/>
    <w:rsid w:val="000E0ADD"/>
    <w:rsid w:val="000E7627"/>
    <w:rsid w:val="000F170F"/>
    <w:rsid w:val="000F28D6"/>
    <w:rsid w:val="00111514"/>
    <w:rsid w:val="00112768"/>
    <w:rsid w:val="001134E0"/>
    <w:rsid w:val="0012258B"/>
    <w:rsid w:val="00131B48"/>
    <w:rsid w:val="00143243"/>
    <w:rsid w:val="00155052"/>
    <w:rsid w:val="001613C9"/>
    <w:rsid w:val="001711E1"/>
    <w:rsid w:val="00171527"/>
    <w:rsid w:val="001821CF"/>
    <w:rsid w:val="001873C6"/>
    <w:rsid w:val="00190B24"/>
    <w:rsid w:val="00191844"/>
    <w:rsid w:val="0019795B"/>
    <w:rsid w:val="001B2AD8"/>
    <w:rsid w:val="001B6473"/>
    <w:rsid w:val="001C1004"/>
    <w:rsid w:val="001D264E"/>
    <w:rsid w:val="001E1DA9"/>
    <w:rsid w:val="001E4593"/>
    <w:rsid w:val="001F13D6"/>
    <w:rsid w:val="001F2F50"/>
    <w:rsid w:val="00201A53"/>
    <w:rsid w:val="002037D0"/>
    <w:rsid w:val="00205801"/>
    <w:rsid w:val="00214BF1"/>
    <w:rsid w:val="002178BD"/>
    <w:rsid w:val="002438B2"/>
    <w:rsid w:val="0024644E"/>
    <w:rsid w:val="00263D76"/>
    <w:rsid w:val="00275C5F"/>
    <w:rsid w:val="00282379"/>
    <w:rsid w:val="00284712"/>
    <w:rsid w:val="00295AEA"/>
    <w:rsid w:val="00295F54"/>
    <w:rsid w:val="00297265"/>
    <w:rsid w:val="00297E92"/>
    <w:rsid w:val="002A2BE8"/>
    <w:rsid w:val="002A7D31"/>
    <w:rsid w:val="002B0E93"/>
    <w:rsid w:val="002B2F59"/>
    <w:rsid w:val="002D0711"/>
    <w:rsid w:val="002D14F9"/>
    <w:rsid w:val="002D4AD1"/>
    <w:rsid w:val="002D5E45"/>
    <w:rsid w:val="002D7642"/>
    <w:rsid w:val="002E00CC"/>
    <w:rsid w:val="002F07A0"/>
    <w:rsid w:val="00303F7E"/>
    <w:rsid w:val="00350816"/>
    <w:rsid w:val="003542F6"/>
    <w:rsid w:val="0035588B"/>
    <w:rsid w:val="00356EF3"/>
    <w:rsid w:val="00375058"/>
    <w:rsid w:val="00391EBA"/>
    <w:rsid w:val="003922FF"/>
    <w:rsid w:val="0039498C"/>
    <w:rsid w:val="00395604"/>
    <w:rsid w:val="0039614F"/>
    <w:rsid w:val="003A340A"/>
    <w:rsid w:val="003B029F"/>
    <w:rsid w:val="003B29A8"/>
    <w:rsid w:val="003B4780"/>
    <w:rsid w:val="003B584B"/>
    <w:rsid w:val="003B6587"/>
    <w:rsid w:val="003C1CD6"/>
    <w:rsid w:val="003C254F"/>
    <w:rsid w:val="003C48FE"/>
    <w:rsid w:val="003C7C4F"/>
    <w:rsid w:val="003D0CCB"/>
    <w:rsid w:val="003D260B"/>
    <w:rsid w:val="003D2622"/>
    <w:rsid w:val="003D644A"/>
    <w:rsid w:val="003E34FB"/>
    <w:rsid w:val="00404FDD"/>
    <w:rsid w:val="00405505"/>
    <w:rsid w:val="00405BE8"/>
    <w:rsid w:val="004137FC"/>
    <w:rsid w:val="004158C0"/>
    <w:rsid w:val="0041748A"/>
    <w:rsid w:val="00434998"/>
    <w:rsid w:val="004539CE"/>
    <w:rsid w:val="0045604A"/>
    <w:rsid w:val="004561D4"/>
    <w:rsid w:val="00487C83"/>
    <w:rsid w:val="00490822"/>
    <w:rsid w:val="00491287"/>
    <w:rsid w:val="00492621"/>
    <w:rsid w:val="004926A0"/>
    <w:rsid w:val="004A7E2E"/>
    <w:rsid w:val="004B39F0"/>
    <w:rsid w:val="004B5629"/>
    <w:rsid w:val="004C379B"/>
    <w:rsid w:val="004D00C2"/>
    <w:rsid w:val="004D409C"/>
    <w:rsid w:val="004E6AB0"/>
    <w:rsid w:val="004F147A"/>
    <w:rsid w:val="004F4911"/>
    <w:rsid w:val="004F6777"/>
    <w:rsid w:val="004F7863"/>
    <w:rsid w:val="00515BDE"/>
    <w:rsid w:val="00515CD4"/>
    <w:rsid w:val="00523440"/>
    <w:rsid w:val="00526D2E"/>
    <w:rsid w:val="00533132"/>
    <w:rsid w:val="00542C2D"/>
    <w:rsid w:val="005527EF"/>
    <w:rsid w:val="00562F12"/>
    <w:rsid w:val="005739D1"/>
    <w:rsid w:val="00574DC2"/>
    <w:rsid w:val="00591C0B"/>
    <w:rsid w:val="00593897"/>
    <w:rsid w:val="005B0496"/>
    <w:rsid w:val="005C097C"/>
    <w:rsid w:val="005C2661"/>
    <w:rsid w:val="005C3125"/>
    <w:rsid w:val="005C6238"/>
    <w:rsid w:val="005C7C41"/>
    <w:rsid w:val="005D0363"/>
    <w:rsid w:val="005D0F1E"/>
    <w:rsid w:val="005E1F39"/>
    <w:rsid w:val="005E337C"/>
    <w:rsid w:val="005E5CA8"/>
    <w:rsid w:val="005E7D20"/>
    <w:rsid w:val="005F714D"/>
    <w:rsid w:val="0060536D"/>
    <w:rsid w:val="006061C6"/>
    <w:rsid w:val="00613B4D"/>
    <w:rsid w:val="00613D12"/>
    <w:rsid w:val="00620BA5"/>
    <w:rsid w:val="00624021"/>
    <w:rsid w:val="00633C2C"/>
    <w:rsid w:val="006553D9"/>
    <w:rsid w:val="00657C97"/>
    <w:rsid w:val="00670AEC"/>
    <w:rsid w:val="00673F26"/>
    <w:rsid w:val="00691E65"/>
    <w:rsid w:val="00696CBC"/>
    <w:rsid w:val="006A2CFF"/>
    <w:rsid w:val="006A5C31"/>
    <w:rsid w:val="006C1739"/>
    <w:rsid w:val="006C1EED"/>
    <w:rsid w:val="006C40A9"/>
    <w:rsid w:val="006C4BAC"/>
    <w:rsid w:val="006D2998"/>
    <w:rsid w:val="006E4A79"/>
    <w:rsid w:val="00700A4E"/>
    <w:rsid w:val="007011EF"/>
    <w:rsid w:val="00701D3E"/>
    <w:rsid w:val="00741406"/>
    <w:rsid w:val="00751FDA"/>
    <w:rsid w:val="0075563F"/>
    <w:rsid w:val="0076131A"/>
    <w:rsid w:val="00763DB0"/>
    <w:rsid w:val="00767CB3"/>
    <w:rsid w:val="0077119B"/>
    <w:rsid w:val="00773766"/>
    <w:rsid w:val="00775941"/>
    <w:rsid w:val="007B044A"/>
    <w:rsid w:val="007B08CF"/>
    <w:rsid w:val="007B317C"/>
    <w:rsid w:val="007B37B4"/>
    <w:rsid w:val="007C10F9"/>
    <w:rsid w:val="007D3C78"/>
    <w:rsid w:val="007E3B9D"/>
    <w:rsid w:val="007E49AB"/>
    <w:rsid w:val="007E7BA9"/>
    <w:rsid w:val="007F14BD"/>
    <w:rsid w:val="007F7C02"/>
    <w:rsid w:val="00807789"/>
    <w:rsid w:val="00823875"/>
    <w:rsid w:val="00825C07"/>
    <w:rsid w:val="00830121"/>
    <w:rsid w:val="00843E72"/>
    <w:rsid w:val="00855AE1"/>
    <w:rsid w:val="00873190"/>
    <w:rsid w:val="008741C0"/>
    <w:rsid w:val="0087571D"/>
    <w:rsid w:val="00887E33"/>
    <w:rsid w:val="00890C58"/>
    <w:rsid w:val="008A52AA"/>
    <w:rsid w:val="008D64F1"/>
    <w:rsid w:val="008D65A2"/>
    <w:rsid w:val="008E16A0"/>
    <w:rsid w:val="00901911"/>
    <w:rsid w:val="00910C62"/>
    <w:rsid w:val="0091574A"/>
    <w:rsid w:val="0091611C"/>
    <w:rsid w:val="00924E7A"/>
    <w:rsid w:val="0093001A"/>
    <w:rsid w:val="009347B3"/>
    <w:rsid w:val="00944244"/>
    <w:rsid w:val="00950EEF"/>
    <w:rsid w:val="00962392"/>
    <w:rsid w:val="0096524E"/>
    <w:rsid w:val="009673AC"/>
    <w:rsid w:val="00973321"/>
    <w:rsid w:val="00974387"/>
    <w:rsid w:val="00975A5B"/>
    <w:rsid w:val="00975BA1"/>
    <w:rsid w:val="00976B4B"/>
    <w:rsid w:val="009900F1"/>
    <w:rsid w:val="00991A70"/>
    <w:rsid w:val="009930CF"/>
    <w:rsid w:val="009A0C7A"/>
    <w:rsid w:val="009A33E5"/>
    <w:rsid w:val="009A622A"/>
    <w:rsid w:val="009B0D2D"/>
    <w:rsid w:val="009B707C"/>
    <w:rsid w:val="009B7EBA"/>
    <w:rsid w:val="009C29C0"/>
    <w:rsid w:val="009C2F42"/>
    <w:rsid w:val="009E1056"/>
    <w:rsid w:val="00A013A2"/>
    <w:rsid w:val="00A01AB1"/>
    <w:rsid w:val="00A1286E"/>
    <w:rsid w:val="00A216C5"/>
    <w:rsid w:val="00A244A2"/>
    <w:rsid w:val="00A30FAA"/>
    <w:rsid w:val="00A33E4E"/>
    <w:rsid w:val="00A42274"/>
    <w:rsid w:val="00A47A51"/>
    <w:rsid w:val="00A517FD"/>
    <w:rsid w:val="00A64DE4"/>
    <w:rsid w:val="00A715C5"/>
    <w:rsid w:val="00A920E6"/>
    <w:rsid w:val="00A963A1"/>
    <w:rsid w:val="00A976C9"/>
    <w:rsid w:val="00AA28FA"/>
    <w:rsid w:val="00AA44C5"/>
    <w:rsid w:val="00AA739F"/>
    <w:rsid w:val="00AB0B69"/>
    <w:rsid w:val="00AB15B7"/>
    <w:rsid w:val="00AB4008"/>
    <w:rsid w:val="00AB5286"/>
    <w:rsid w:val="00AC7D18"/>
    <w:rsid w:val="00AD1FBF"/>
    <w:rsid w:val="00AE71F9"/>
    <w:rsid w:val="00AE7BB9"/>
    <w:rsid w:val="00AF0157"/>
    <w:rsid w:val="00AF6637"/>
    <w:rsid w:val="00AF75EA"/>
    <w:rsid w:val="00B06422"/>
    <w:rsid w:val="00B131D5"/>
    <w:rsid w:val="00B25477"/>
    <w:rsid w:val="00B3144E"/>
    <w:rsid w:val="00B40645"/>
    <w:rsid w:val="00B525A8"/>
    <w:rsid w:val="00B57067"/>
    <w:rsid w:val="00B6342C"/>
    <w:rsid w:val="00B722D8"/>
    <w:rsid w:val="00B95362"/>
    <w:rsid w:val="00BA1939"/>
    <w:rsid w:val="00BA64BE"/>
    <w:rsid w:val="00BB306F"/>
    <w:rsid w:val="00BB61D6"/>
    <w:rsid w:val="00BC7CF8"/>
    <w:rsid w:val="00BE283C"/>
    <w:rsid w:val="00BE55F6"/>
    <w:rsid w:val="00BE5DE8"/>
    <w:rsid w:val="00BE611B"/>
    <w:rsid w:val="00C020C0"/>
    <w:rsid w:val="00C04426"/>
    <w:rsid w:val="00C12BDF"/>
    <w:rsid w:val="00C1503F"/>
    <w:rsid w:val="00C20148"/>
    <w:rsid w:val="00C210E6"/>
    <w:rsid w:val="00C2275F"/>
    <w:rsid w:val="00C273BC"/>
    <w:rsid w:val="00C319FA"/>
    <w:rsid w:val="00C365F8"/>
    <w:rsid w:val="00C42639"/>
    <w:rsid w:val="00C45764"/>
    <w:rsid w:val="00C66256"/>
    <w:rsid w:val="00C757CE"/>
    <w:rsid w:val="00C76683"/>
    <w:rsid w:val="00C80F63"/>
    <w:rsid w:val="00C822A5"/>
    <w:rsid w:val="00C846BA"/>
    <w:rsid w:val="00C85456"/>
    <w:rsid w:val="00C9196C"/>
    <w:rsid w:val="00C93B88"/>
    <w:rsid w:val="00C95223"/>
    <w:rsid w:val="00CC6312"/>
    <w:rsid w:val="00CD1E02"/>
    <w:rsid w:val="00CD739C"/>
    <w:rsid w:val="00CD7532"/>
    <w:rsid w:val="00CE1714"/>
    <w:rsid w:val="00CF27B7"/>
    <w:rsid w:val="00CF6A21"/>
    <w:rsid w:val="00D030C2"/>
    <w:rsid w:val="00D11836"/>
    <w:rsid w:val="00D278A0"/>
    <w:rsid w:val="00D30208"/>
    <w:rsid w:val="00D4056D"/>
    <w:rsid w:val="00D46DF3"/>
    <w:rsid w:val="00D52AF9"/>
    <w:rsid w:val="00D5683D"/>
    <w:rsid w:val="00D572A2"/>
    <w:rsid w:val="00D66272"/>
    <w:rsid w:val="00D673EA"/>
    <w:rsid w:val="00D71CA8"/>
    <w:rsid w:val="00D736CB"/>
    <w:rsid w:val="00D91B71"/>
    <w:rsid w:val="00DA0227"/>
    <w:rsid w:val="00DA432D"/>
    <w:rsid w:val="00DA7EED"/>
    <w:rsid w:val="00DC645C"/>
    <w:rsid w:val="00DD41E0"/>
    <w:rsid w:val="00DD4634"/>
    <w:rsid w:val="00DD66EB"/>
    <w:rsid w:val="00DD79E9"/>
    <w:rsid w:val="00DE7012"/>
    <w:rsid w:val="00DE7EAF"/>
    <w:rsid w:val="00DF16FA"/>
    <w:rsid w:val="00DF4D4D"/>
    <w:rsid w:val="00DF6F3A"/>
    <w:rsid w:val="00DF7516"/>
    <w:rsid w:val="00E1220E"/>
    <w:rsid w:val="00E1710C"/>
    <w:rsid w:val="00E30DA0"/>
    <w:rsid w:val="00E33585"/>
    <w:rsid w:val="00E3674A"/>
    <w:rsid w:val="00E520CB"/>
    <w:rsid w:val="00E5463C"/>
    <w:rsid w:val="00E57E43"/>
    <w:rsid w:val="00E65CBD"/>
    <w:rsid w:val="00E67358"/>
    <w:rsid w:val="00E87394"/>
    <w:rsid w:val="00E9325D"/>
    <w:rsid w:val="00E9641E"/>
    <w:rsid w:val="00E96DF1"/>
    <w:rsid w:val="00EA1588"/>
    <w:rsid w:val="00EA38CC"/>
    <w:rsid w:val="00EB175F"/>
    <w:rsid w:val="00EB1D48"/>
    <w:rsid w:val="00EB26E3"/>
    <w:rsid w:val="00EB2F65"/>
    <w:rsid w:val="00EB63A3"/>
    <w:rsid w:val="00EB7901"/>
    <w:rsid w:val="00EC6DFB"/>
    <w:rsid w:val="00EC7B1D"/>
    <w:rsid w:val="00EF1F0E"/>
    <w:rsid w:val="00EF3FB9"/>
    <w:rsid w:val="00EF4A48"/>
    <w:rsid w:val="00EF6E86"/>
    <w:rsid w:val="00F01DD7"/>
    <w:rsid w:val="00F04103"/>
    <w:rsid w:val="00F169AB"/>
    <w:rsid w:val="00F33474"/>
    <w:rsid w:val="00F335CF"/>
    <w:rsid w:val="00F4240E"/>
    <w:rsid w:val="00F51927"/>
    <w:rsid w:val="00F642D4"/>
    <w:rsid w:val="00F82734"/>
    <w:rsid w:val="00F84822"/>
    <w:rsid w:val="00F85E0E"/>
    <w:rsid w:val="00F9210B"/>
    <w:rsid w:val="00FA00A4"/>
    <w:rsid w:val="00FB6696"/>
    <w:rsid w:val="00FC28C8"/>
    <w:rsid w:val="00FC2A3D"/>
    <w:rsid w:val="00FC3DFC"/>
    <w:rsid w:val="00FC5982"/>
    <w:rsid w:val="00FD2BD7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Знак Char Char Char Char"/>
    <w:basedOn w:val="Normal"/>
    <w:rsid w:val="000148E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739D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basedOn w:val="Normal"/>
    <w:rsid w:val="00F169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F16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E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Знак Char Char Char Char"/>
    <w:basedOn w:val="Normal"/>
    <w:rsid w:val="000148EE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E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04FDD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5739D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">
    <w:name w:val="Char"/>
    <w:basedOn w:val="Normal"/>
    <w:rsid w:val="00F169AB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F16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C0BB9-C228-468C-BA23-7EB74728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Илиев</dc:creator>
  <cp:lastModifiedBy>V. Popovska</cp:lastModifiedBy>
  <cp:revision>4</cp:revision>
  <cp:lastPrinted>2018-06-20T07:24:00Z</cp:lastPrinted>
  <dcterms:created xsi:type="dcterms:W3CDTF">2018-06-27T09:28:00Z</dcterms:created>
  <dcterms:modified xsi:type="dcterms:W3CDTF">2018-06-27T09:30:00Z</dcterms:modified>
</cp:coreProperties>
</file>