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spacing w:val="40"/>
          <w:lang w:val="en-US"/>
        </w:rPr>
      </w:pPr>
      <w:bookmarkStart w:id="0" w:name="_Toc243469582"/>
    </w:p>
    <w:p>
      <w:pPr>
        <w:pStyle w:val="Title"/>
        <w:rPr>
          <w:rStyle w:val="TitleChar"/>
          <w:spacing w:val="40"/>
          <w:szCs w:val="26"/>
        </w:rPr>
      </w:pPr>
      <w:r>
        <w:rPr>
          <w:spacing w:val="40"/>
        </w:rPr>
        <w:t>Договор за балансиране</w:t>
      </w:r>
    </w:p>
    <w:p>
      <w:pPr>
        <w:spacing w:before="360"/>
        <w:jc w:val="center"/>
      </w:pPr>
    </w:p>
    <w:p>
      <w:pPr>
        <w:spacing w:before="360"/>
        <w:jc w:val="center"/>
      </w:pPr>
      <w:bookmarkStart w:id="1" w:name="_GoBack"/>
      <w:bookmarkEnd w:id="1"/>
      <w:r>
        <w:t>№ ………… / ……………………</w:t>
      </w:r>
    </w:p>
    <w:p>
      <w:pPr>
        <w:spacing w:before="360"/>
      </w:pPr>
    </w:p>
    <w:p>
      <w:pPr>
        <w:spacing w:before="360"/>
      </w:pPr>
      <w:r>
        <w:t>Днес, …………………… в гр. София, между:</w:t>
      </w:r>
    </w:p>
    <w:p>
      <w:pPr>
        <w:spacing w:before="240"/>
        <w:rPr>
          <w:b/>
        </w:rPr>
      </w:pPr>
    </w:p>
    <w:p>
      <w:pPr>
        <w:spacing w:before="240"/>
        <w:rPr>
          <w:lang w:val="en-US"/>
        </w:rPr>
      </w:pPr>
      <w:r>
        <w:rPr>
          <w:b/>
        </w:rPr>
        <w:t>„ЕЛЕКТРОЕНЕРГИЕН СИСТЕМЕН ОПЕРАТОР“ ЕАД</w:t>
      </w:r>
      <w:r>
        <w:rPr>
          <w:b/>
          <w:lang w:val="en-US"/>
        </w:rPr>
        <w:t xml:space="preserve"> (E</w:t>
      </w:r>
      <w:r>
        <w:rPr>
          <w:b/>
        </w:rPr>
        <w:t>СО ЕАД</w:t>
      </w:r>
      <w:r>
        <w:rPr>
          <w:b/>
          <w:lang w:val="en-US"/>
        </w:rPr>
        <w:t>)</w:t>
      </w:r>
      <w:r>
        <w:t>, регистрирано в Търговския регистър на Агенцията по вписванията, с ЕИК 175201304, със седалище и адрес на управление 1</w:t>
      </w:r>
      <w:r>
        <w:rPr>
          <w:lang w:val="en-US"/>
        </w:rPr>
        <w:t>618</w:t>
      </w:r>
      <w:r>
        <w:t xml:space="preserve">, гр. София, бул. „Цар Борис </w:t>
      </w:r>
      <w:r>
        <w:rPr>
          <w:lang w:val="en-US"/>
        </w:rPr>
        <w:t>III</w:t>
      </w:r>
      <w:r>
        <w:t>“ №</w:t>
      </w:r>
      <w:r>
        <w:rPr>
          <w:lang w:val="en-US"/>
        </w:rPr>
        <w:t>201</w:t>
      </w:r>
      <w:r>
        <w:t>, Столична община - район „Витоша“, представлявано от Ангелин Цачев  - изпълнителен директор, наричано по-долу НЕЗАВИСИМ ПРЕНОСЕН ОПЕРАТОР /НПО/ от една страна,</w:t>
      </w:r>
    </w:p>
    <w:p>
      <w:pPr>
        <w:spacing w:before="240"/>
        <w:rPr>
          <w:lang w:val="en-US"/>
        </w:rPr>
      </w:pPr>
    </w:p>
    <w:p>
      <w:pPr>
        <w:rPr>
          <w:lang w:val="en-US"/>
        </w:rPr>
      </w:pPr>
      <w:r>
        <w:t>и</w:t>
      </w:r>
    </w:p>
    <w:p>
      <w:pPr>
        <w:rPr>
          <w:lang w:val="en-US"/>
        </w:rPr>
      </w:pPr>
    </w:p>
    <w:p>
      <w:r>
        <w:t xml:space="preserve">……………….……………………………………………………………………….……, регистрирано на пазара на балансираща енергия като </w:t>
      </w:r>
      <w:r>
        <w:rPr>
          <w:b/>
        </w:rPr>
        <w:t>Търговец</w:t>
      </w:r>
      <w:r>
        <w:t xml:space="preserve">, идентификационен номер на търговски участник  ………………………, съгласно известието за приемане на заявлението за регистрация с адрес на управление …………………………….…………….……………….…, </w:t>
      </w:r>
    </w:p>
    <w:p>
      <w:r>
        <w:t>……………………………………………………………………………………………………………</w:t>
      </w:r>
    </w:p>
    <w:p>
      <w:r>
        <w:t>притежаващо лицензия №….…………………/…………..………, с ЕИК ………………….……… в Търговския регистър при Агенция по вписванията, представлявано от ………….………</w:t>
      </w:r>
      <w:r>
        <w:rPr>
          <w:lang w:val="ru-RU"/>
        </w:rPr>
        <w:t xml:space="preserve"> - </w:t>
      </w:r>
      <w:r>
        <w:t>…………………………………………………………………………………………………………, наричано по-нататък търговски участник (ТУ) от друга страна</w:t>
      </w:r>
      <w:r>
        <w:rPr>
          <w:lang w:val="en-US"/>
        </w:rPr>
        <w:t xml:space="preserve">, </w:t>
      </w:r>
      <w:r>
        <w:t>и</w:t>
      </w:r>
    </w:p>
    <w:p/>
    <w:p>
      <w:r>
        <w:t xml:space="preserve">На основание Правилата за търговия с електрическа енергия (Правилата) и </w:t>
      </w:r>
      <w:r>
        <w:rPr>
          <w:rFonts w:cs="Arial"/>
        </w:rPr>
        <w:t>техните последващи изменения и допълнения</w:t>
      </w:r>
      <w:r>
        <w:t>, се сключи настоящият договор.</w:t>
      </w:r>
    </w:p>
    <w:p/>
    <w:p>
      <w:pPr>
        <w:pStyle w:val="Heading2"/>
      </w:pPr>
      <w:r>
        <w:lastRenderedPageBreak/>
        <w:br/>
        <w:t>Предмет на договора и условия за влизането му в сила</w:t>
      </w:r>
    </w:p>
    <w:p>
      <w:pPr>
        <w:pStyle w:val="Heading3"/>
      </w:pPr>
      <w:bookmarkStart w:id="2" w:name="_Ref309627569"/>
      <w:r>
        <w:t>Предмет на настоящия Договор са сделките за компенсиране на разликата между количествата закупена и продадена електрическа енергия за всеки период на сетълмент.</w:t>
      </w:r>
      <w:bookmarkEnd w:id="2"/>
    </w:p>
    <w:p>
      <w:pPr>
        <w:pStyle w:val="Heading3"/>
      </w:pPr>
      <w:r>
        <w:t>Определянето на количествата и цените при сделките по т.1.1 ще се извършва съгласно Правилата.</w:t>
      </w:r>
    </w:p>
    <w:p>
      <w:pPr>
        <w:pStyle w:val="Heading3"/>
      </w:pPr>
      <w:r>
        <w:t>Договорът за балансиране влиза в сила след подписване от двете страни и след изпълнение на следните условия:</w:t>
      </w:r>
    </w:p>
    <w:p>
      <w:pPr>
        <w:pStyle w:val="Heading4"/>
      </w:pPr>
      <w:r>
        <w:t xml:space="preserve">ТУ да е предоставил гаранционно обезпечение </w:t>
      </w:r>
      <w:r>
        <w:rPr>
          <w:rFonts w:cs="Arial"/>
        </w:rPr>
        <w:t>Инструкция по чл.184, ал.1 от Правилата</w:t>
      </w:r>
      <w:r>
        <w:t>.</w:t>
      </w:r>
    </w:p>
    <w:p>
      <w:pPr>
        <w:pStyle w:val="Heading4"/>
      </w:pPr>
      <w:r>
        <w:t>ТУ да е вписан в регистъра на търговските участници със статус „активен”, поддържан на сайта от НПО.</w:t>
      </w:r>
    </w:p>
    <w:p/>
    <w:p>
      <w:pPr>
        <w:pStyle w:val="Heading2"/>
      </w:pPr>
      <w:r>
        <w:br/>
        <w:t>Права и задължения на НПО</w:t>
      </w:r>
    </w:p>
    <w:p>
      <w:pPr>
        <w:pStyle w:val="Heading3"/>
      </w:pPr>
      <w:r>
        <w:t>НПО извършва необходимите действия за регистриране на търговските участници на пазара на балансираща енергия.</w:t>
      </w:r>
    </w:p>
    <w:p>
      <w:pPr>
        <w:pStyle w:val="Heading3"/>
      </w:pPr>
      <w:r>
        <w:t>НПО купува и продава балансираща енергия, за да покрива небалансите на търговските участници, подлежащи на балансиране.</w:t>
      </w:r>
    </w:p>
    <w:p>
      <w:pPr>
        <w:pStyle w:val="Heading3"/>
      </w:pPr>
      <w:r>
        <w:t>НПО определя количествата електрическа енергия, търгувани дневно на пазара на балансираща енергия за всеки период на сетълмент, който е един час.</w:t>
      </w:r>
    </w:p>
    <w:p>
      <w:pPr>
        <w:pStyle w:val="Heading3"/>
      </w:pPr>
      <w:bookmarkStart w:id="3" w:name="_Ref309628346"/>
      <w:r>
        <w:t>НПО изготвя дневни извлечения за сетълмент на седмична база в срок от три работни дни след края на седмицата, за дните от понеделник до неделя включително за предходната календарна седмица, за които ТУ се информира от информационната система за администриране на търговията с електрическа енергия, която е достъпна на сайта на НПО.</w:t>
      </w:r>
      <w:bookmarkEnd w:id="3"/>
    </w:p>
    <w:p>
      <w:pPr>
        <w:pStyle w:val="Heading3"/>
      </w:pPr>
      <w:bookmarkStart w:id="4" w:name="_Ref309628354"/>
      <w:r>
        <w:t>НПО изготвя обобщено извлечение за сетълмент в срок до десетия ден на месеца, следващ отчетния и го изпраща на ТУ по електронна поща. В случай че ТУ няма небаланс за периодите на сетълмент в рамките на календарния месец, извлечение за сетълмент не се изпраща.</w:t>
      </w:r>
      <w:bookmarkEnd w:id="4"/>
    </w:p>
    <w:p>
      <w:pPr>
        <w:pStyle w:val="Heading3"/>
      </w:pPr>
      <w:r>
        <w:t>НПО за всеки отчетен период издава и изпраща фактури на ТУ за продадената балансираща енергия.</w:t>
      </w:r>
    </w:p>
    <w:p>
      <w:pPr>
        <w:pStyle w:val="Heading3"/>
      </w:pPr>
      <w:r>
        <w:t>Отчетният период в рамките на календарния месец е един и обхваща сделките с балансираща енергия от първо до последно число на календарния месец.</w:t>
      </w:r>
    </w:p>
    <w:p>
      <w:pPr>
        <w:pStyle w:val="Heading3"/>
      </w:pPr>
      <w:bookmarkStart w:id="5" w:name="_Ref309627801"/>
      <w:r>
        <w:t>При забавено изпълнение на задълженията за плащане по този договор, НПО усвоява предоставеното му обезпечение до размера на главницата, неустойката за забава и такси и разноски по усвояването, за което информира последващо ТУ с  писмо по факс</w:t>
      </w:r>
      <w:bookmarkEnd w:id="5"/>
      <w:r>
        <w:t xml:space="preserve"> или по електронна поща. </w:t>
      </w:r>
    </w:p>
    <w:p>
      <w:pPr>
        <w:pStyle w:val="Heading3"/>
      </w:pPr>
      <w:r>
        <w:t xml:space="preserve">НПО няма задължение да оттегли отправено искане за усвояване на банкова гаранция, ако преди неговото удовлетворяване получи плащане от ТУ. При оттегляне, </w:t>
      </w:r>
      <w:r>
        <w:lastRenderedPageBreak/>
        <w:t>всички такси и разноски във връзка с искането за усвояване на банковата гаранция и възстановяване на платената сума, са за сметка на ТУ.</w:t>
      </w:r>
    </w:p>
    <w:p>
      <w:pPr>
        <w:pStyle w:val="Heading3"/>
      </w:pPr>
      <w:bookmarkStart w:id="6" w:name="_Ref309627820"/>
      <w:r>
        <w:t xml:space="preserve">ТУ е длъжен да предостави ново гаранционно обезпечение под формата на банкова гаранция и/или депозит в полза на НПО в срок от </w:t>
      </w:r>
      <w:r>
        <w:rPr>
          <w:lang w:val="en-US"/>
        </w:rPr>
        <w:t>2</w:t>
      </w:r>
      <w:r>
        <w:t xml:space="preserve"> (два) работни дни от датата на уведомлението за ефективно усвояване по т.2.8.</w:t>
      </w:r>
      <w:bookmarkEnd w:id="6"/>
    </w:p>
    <w:p>
      <w:pPr>
        <w:pStyle w:val="Heading3"/>
      </w:pPr>
      <w:r>
        <w:t>В случай че плащането за реализираните небаланси не е осъществено в срок и/или не е възстановена изискуемата сума по гаранционното обезпечение по т.2.10, НПО има право да отстрани ТУ от пазара на балансираща енергия с предизвестие.</w:t>
      </w:r>
    </w:p>
    <w:p>
      <w:pPr>
        <w:pStyle w:val="Heading3"/>
      </w:pPr>
      <w:bookmarkStart w:id="7" w:name="_Ref309627854"/>
      <w:r>
        <w:t>НПО има право при транзит на електрическа енергия, в случаите на наложено ограничение от съответния съседен оператор на графика за внос на ТУ, да ограничава съответно кореспондиращия външен график на ТУ за износ, респективно при наложено ограничение на външен график за износ, да извършва съответно ограничение на графика за внос.</w:t>
      </w:r>
      <w:bookmarkEnd w:id="7"/>
    </w:p>
    <w:p>
      <w:pPr>
        <w:pStyle w:val="Heading3"/>
      </w:pPr>
      <w:r>
        <w:t>НПО има право да откаже регистриране на „външен</w:t>
      </w:r>
      <w:r>
        <w:rPr>
          <w:lang w:val="ru-RU"/>
        </w:rPr>
        <w:t>”</w:t>
      </w:r>
      <w:r>
        <w:t xml:space="preserve"> график, ако количествата по този график не са обезпечени със съответните количества по „вътрешни” графици, извън случаите по т.2.12</w:t>
      </w:r>
      <w:r>
        <w:rPr>
          <w:lang w:val="en-US"/>
        </w:rPr>
        <w:t>.</w:t>
      </w:r>
    </w:p>
    <w:p>
      <w:pPr>
        <w:pStyle w:val="Heading3"/>
        <w:rPr>
          <w:lang w:val="en-US"/>
        </w:rPr>
      </w:pPr>
      <w:r>
        <w:t>В случай на аварийна ситуация  и/или непреодолима сила, търговските участници предприемат необходимите мерки за съгласуване на графици за покупка и продажба, които да отчитат променените обстоятелства за следващия период на доставка.</w:t>
      </w:r>
    </w:p>
    <w:p>
      <w:pPr>
        <w:pStyle w:val="Heading3"/>
      </w:pPr>
      <w:r>
        <w:t>НПО не прекратява и не променя графици на търговските участници, в случаите на т.2.14 след регистрирането им.</w:t>
      </w:r>
    </w:p>
    <w:p/>
    <w:p>
      <w:pPr>
        <w:pStyle w:val="Heading2"/>
      </w:pPr>
      <w:r>
        <w:t xml:space="preserve"> </w:t>
      </w:r>
      <w:r>
        <w:br/>
        <w:t>Права и задължения на ТУ</w:t>
      </w:r>
    </w:p>
    <w:p>
      <w:pPr>
        <w:pStyle w:val="Heading3"/>
      </w:pPr>
      <w:r>
        <w:t>ТУ извършва необходимите действия, за регистриране на пазара на балансираща енергия, чрез изпращане на заявление за регистрация по образец, публикувано на сайта на НПО</w:t>
      </w:r>
      <w:r>
        <w:rPr>
          <w:lang w:val="ru-RU"/>
        </w:rPr>
        <w:t>.</w:t>
      </w:r>
    </w:p>
    <w:p>
      <w:pPr>
        <w:pStyle w:val="Heading3"/>
      </w:pPr>
      <w:r>
        <w:t>ТУ, на база извлеченията по т.</w:t>
      </w:r>
      <w:r>
        <w:rPr>
          <w:lang w:val="ru-RU"/>
        </w:rPr>
        <w:t xml:space="preserve"> 2.4 </w:t>
      </w:r>
      <w:r>
        <w:t>и т. 2.5, за всеки отчетен период издава и изпраща фактури на НПО за продадената балансираща енергия.</w:t>
      </w:r>
    </w:p>
    <w:p>
      <w:pPr>
        <w:pStyle w:val="Heading3"/>
      </w:pPr>
      <w:r>
        <w:t>ТУ изпраща данните, свързани с договорените количества по графиците за доставка в указаните на сайта на НПО срокове и формат.</w:t>
      </w:r>
    </w:p>
    <w:p>
      <w:pPr>
        <w:pStyle w:val="Heading3"/>
      </w:pPr>
      <w:r>
        <w:t>ТУ изпълнява техническите изисквания по отношение на средствата за комуникация, посочени в Известието за приемане на заявлението за регистрация, относно поддържането, предаването и съхранението на данни във връзка с участието на пазара на балансираща енергия.</w:t>
      </w:r>
    </w:p>
    <w:p>
      <w:pPr>
        <w:pStyle w:val="Heading3"/>
        <w:rPr>
          <w:lang w:val="ru-RU"/>
        </w:rPr>
      </w:pPr>
      <w:r>
        <w:t xml:space="preserve">ТУ поддържа в необходимия размер гаранционно обезпечение, определено от НПО, съгласно </w:t>
      </w:r>
      <w:r>
        <w:rPr>
          <w:rFonts w:cs="Arial"/>
        </w:rPr>
        <w:t>Инструкция по чл.184, ал.1 от Правилата</w:t>
      </w:r>
      <w:r>
        <w:rPr>
          <w:lang w:val="ru-RU"/>
        </w:rPr>
        <w:t>.</w:t>
      </w:r>
    </w:p>
    <w:p>
      <w:pPr>
        <w:rPr>
          <w:lang w:val="ru-RU"/>
        </w:rPr>
      </w:pPr>
    </w:p>
    <w:p>
      <w:pPr>
        <w:pStyle w:val="Heading2"/>
      </w:pPr>
      <w:r>
        <w:lastRenderedPageBreak/>
        <w:br/>
        <w:t>Фактуриране и плащане на балансираща енергия. Неустойки. Обезпечения</w:t>
      </w:r>
    </w:p>
    <w:p>
      <w:pPr>
        <w:pStyle w:val="Heading3"/>
      </w:pPr>
      <w:r>
        <w:t>Фактурирането се извършва съгласно дневните и обобщени извлечения за сетълмент, с дата на данъчно събитие - последният ден на календарния месец и се изпращат на ТУ/НПО по факс или по електронна поща, в деня на издаването им.</w:t>
      </w:r>
    </w:p>
    <w:p>
      <w:pPr>
        <w:pStyle w:val="Heading3"/>
      </w:pPr>
      <w:r>
        <w:t>Фактурите се издават от НПО и ТУ за количеството балансираща енергия, което са продали за съответния отчетен период, отразено в обобщените извлечения за сетълмент. Оригиналът на фактурата се изпраща по пощата с обратна разписка или по куриерска поща, освен в случаите, когато ТУ се е съгласил да получава електронна фактура.</w:t>
      </w:r>
    </w:p>
    <w:p>
      <w:pPr>
        <w:pStyle w:val="Heading3"/>
      </w:pPr>
      <w:r>
        <w:t>В случай на забава на парични задължения по договора, неизправната страна дължи на изправната страна неустойка за забава в размер на 0.05% на ден за всеки ден забава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Когато преведената сума не е достатъчна да покрие лихвите и главницата, първо се погасяват лихвите</w:t>
      </w:r>
      <w:r>
        <w:rPr>
          <w:lang w:val="ru-RU"/>
        </w:rPr>
        <w:t>.</w:t>
      </w:r>
    </w:p>
    <w:p>
      <w:pPr>
        <w:pStyle w:val="Heading3"/>
      </w:pPr>
      <w:r>
        <w:t>Плащанията съгласно издадени фактури се извършват чрез директен банков превод с платежно нареждане, по сметки на страните, посочени във фактурите.</w:t>
      </w:r>
    </w:p>
    <w:p>
      <w:pPr>
        <w:pStyle w:val="Heading3"/>
      </w:pPr>
      <w:bookmarkStart w:id="8" w:name="_Ref309629325"/>
      <w:r>
        <w:t>Срокът за плащане на задълженията на НПО по издадена от ТУ фактура е до 20 /двадесето/ число на месеца следващ отчетния, като неполучаването на фактурата в оригинал не освобождава НПО от задължението му да заплати сумите по нея в договорения срок.</w:t>
      </w:r>
      <w:bookmarkEnd w:id="8"/>
    </w:p>
    <w:p>
      <w:pPr>
        <w:pStyle w:val="Heading3"/>
      </w:pPr>
      <w:r>
        <w:t>Срокът за плащане на задълженията на ТУ по издадена от НПО фактура е до</w:t>
      </w:r>
      <w:r>
        <w:rPr>
          <w:lang w:val="en-US"/>
        </w:rPr>
        <w:t xml:space="preserve"> </w:t>
      </w:r>
      <w:r>
        <w:t>15 /петнадесето/ число на месеца следващ отчетния, като неполучаването на фактурата в оригинал не освобождава ТУ от задължението му да заплати сумите по нея в договорения срок.</w:t>
      </w:r>
    </w:p>
    <w:p>
      <w:pPr>
        <w:pStyle w:val="Heading3"/>
      </w:pPr>
      <w:r>
        <w:t>Задължението за плащане се счита за изпълнено в срок, ако цялата дължима сума постъпи по банковата сметка на НПО, най-късно до 17</w:t>
      </w:r>
      <w:r>
        <w:rPr>
          <w:lang w:val="ru-RU"/>
        </w:rPr>
        <w:t>:</w:t>
      </w:r>
      <w:r>
        <w:t>00 часа в деня на падежа, съгласно издадената фактура, а когато денят на падежа е неработен ден - до 17</w:t>
      </w:r>
      <w:r>
        <w:rPr>
          <w:lang w:val="ru-RU"/>
        </w:rPr>
        <w:t>:</w:t>
      </w:r>
      <w:r>
        <w:t>00 часа на първия следващ работен ден.</w:t>
      </w:r>
    </w:p>
    <w:p>
      <w:pPr>
        <w:pStyle w:val="Heading3"/>
      </w:pPr>
      <w:bookmarkStart w:id="9" w:name="_Ref309632124"/>
      <w:r>
        <w:t xml:space="preserve">ТУ предоставя в полза на НПО неотменяема и безусловна банкова гаранция, по образец, представляващ Приложение № 3 към настоящия договор или депозит по сметка на НПО. </w:t>
      </w:r>
      <w:bookmarkEnd w:id="9"/>
    </w:p>
    <w:p>
      <w:pPr>
        <w:pStyle w:val="Heading3"/>
      </w:pPr>
      <w:bookmarkStart w:id="10" w:name="_Ref309629337"/>
      <w:r>
        <w:t>Изискуемите суми за гарантиране на плащанията по т.</w:t>
      </w:r>
      <w:r>
        <w:rPr>
          <w:lang w:val="ru-RU"/>
        </w:rPr>
        <w:t xml:space="preserve"> 4.6 </w:t>
      </w:r>
      <w:r>
        <w:t xml:space="preserve">при първоначална регистрация и последващите актуализации, се определят от НПО, съгласно </w:t>
      </w:r>
      <w:r>
        <w:rPr>
          <w:rFonts w:cs="Arial"/>
        </w:rPr>
        <w:t>Инструкция по чл.184, ал.1 от Правилата</w:t>
      </w:r>
      <w:r>
        <w:t>.</w:t>
      </w:r>
      <w:bookmarkEnd w:id="10"/>
    </w:p>
    <w:p>
      <w:pPr>
        <w:pStyle w:val="Heading3"/>
        <w:numPr>
          <w:ilvl w:val="2"/>
          <w:numId w:val="8"/>
        </w:numPr>
        <w:tabs>
          <w:tab w:val="clear" w:pos="1135"/>
          <w:tab w:val="num" w:pos="851"/>
        </w:tabs>
        <w:ind w:left="0"/>
      </w:pPr>
      <w:bookmarkStart w:id="11" w:name="_Ref309629367"/>
      <w:r>
        <w:t>НПО има право да изисква актуализация на сумата по т. 4.9, когато нетното изчислено задължение към НПО за съответния месец надвишава сумата на предоставеното обезпечение или в случай че прогнозното задължение съгласно предварителен физически сетълмент в рамките на месеца надвиши предоставеното обезпечение.</w:t>
      </w:r>
    </w:p>
    <w:bookmarkEnd w:id="11"/>
    <w:p>
      <w:pPr>
        <w:pStyle w:val="Heading3"/>
      </w:pPr>
      <w:r>
        <w:lastRenderedPageBreak/>
        <w:t>Банковите гаранции са със срок на валидност до 31 януари, като до 15-то число на месец декември ТУ е длъжен да предостави нова гаранция и/или документ за удължаване на нейния срок.</w:t>
      </w:r>
    </w:p>
    <w:p>
      <w:pPr>
        <w:pStyle w:val="Heading3"/>
        <w:rPr>
          <w:lang w:val="en-US"/>
        </w:rPr>
      </w:pPr>
      <w:r>
        <w:t>Обезпеченията в полза на НПО се актуализират в срок до два работни дни от уведомлението на НПО, съгласно условията по т.</w:t>
      </w:r>
      <w:r>
        <w:rPr>
          <w:lang w:val="ru-RU"/>
        </w:rPr>
        <w:t xml:space="preserve"> 4.10</w:t>
      </w:r>
      <w:r>
        <w:rPr>
          <w:lang w:val="en-US"/>
        </w:rPr>
        <w:t>.</w:t>
      </w:r>
    </w:p>
    <w:p>
      <w:pPr>
        <w:pStyle w:val="Heading3"/>
      </w:pPr>
      <w:r>
        <w:t>В случай че ТУ не актуализира размера на предоставеното гаранционно обезпечение в изискуемия срок и размер, НПО има право да го отстрани от пазара на балансираща енергия, с предизвестие, съгласно Правилата.</w:t>
      </w:r>
    </w:p>
    <w:p/>
    <w:p>
      <w:pPr>
        <w:pStyle w:val="Heading2"/>
      </w:pPr>
      <w:r>
        <w:br/>
        <w:t>Оспорване на количества и цени</w:t>
      </w:r>
    </w:p>
    <w:p>
      <w:pPr>
        <w:pStyle w:val="Heading3"/>
      </w:pPr>
      <w:bookmarkStart w:id="12" w:name="_Ref309629436"/>
      <w:r>
        <w:t>НПО изготвя обобщено извлечение за сетълмент в сроковете, съгласно Правилата, което ТУ има право да оспори в срок от един работен ден от получаването му.</w:t>
      </w:r>
      <w:bookmarkEnd w:id="12"/>
    </w:p>
    <w:p>
      <w:pPr>
        <w:pStyle w:val="Heading3"/>
      </w:pPr>
      <w:r>
        <w:t>В случаите на оспорване по т. 5.1 от този договор, ТУ прилага необходимите документи (справки, показания на електромери, обменена информация с ЕСО, преносното предприятие, разпределителното предприятие).</w:t>
      </w:r>
    </w:p>
    <w:p>
      <w:pPr>
        <w:pStyle w:val="Heading3"/>
      </w:pPr>
      <w:r>
        <w:t>НПО проверява повторно данните и при необходимост издава ново/и извлечения за сетълмент.</w:t>
      </w:r>
    </w:p>
    <w:p>
      <w:pPr>
        <w:pStyle w:val="Heading3"/>
      </w:pPr>
      <w:r>
        <w:t>При наличие на спор по издадено извлечение за сетълмент след десетия ден от изтичане на отчетния период, НПО и ТУ издават съответните фактури в срока по чл. 113, ал. 4 от ЗДДС, съгласно обобщеното извлечение за сетълмент, което е в процес на оспорване.</w:t>
      </w:r>
    </w:p>
    <w:p>
      <w:pPr>
        <w:pStyle w:val="Heading3"/>
      </w:pPr>
      <w:r>
        <w:t>При разрешаване на спора в срока за плащане по фактурите, страните заплащат реално дължимите суми, като разликите се уреждат чрез данъчно дебитно/кредитно известие.</w:t>
      </w:r>
    </w:p>
    <w:p>
      <w:pPr>
        <w:pStyle w:val="Heading3"/>
      </w:pPr>
      <w:r>
        <w:t>В случай че спорът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данъчно дебитно/кредитно известие.</w:t>
      </w:r>
    </w:p>
    <w:p/>
    <w:p>
      <w:pPr>
        <w:pStyle w:val="Heading2"/>
      </w:pPr>
      <w:r>
        <w:br/>
        <w:t>Непреодолима сила</w:t>
      </w:r>
    </w:p>
    <w:p>
      <w:pPr>
        <w:pStyle w:val="Heading3"/>
        <w:tabs>
          <w:tab w:val="clear" w:pos="851"/>
          <w:tab w:val="clear" w:pos="1135"/>
        </w:tabs>
        <w:rPr>
          <w:rFonts w:cs="Arial"/>
        </w:rPr>
      </w:pPr>
      <w:r>
        <w:rPr>
          <w:rFonts w:cs="Arial"/>
        </w:rPr>
        <w:t>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неограничаващи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торнадо, проливен дъжд, градушка, свличане, срутвания на земни маси, заледявания, и др.), доколкото тези събития пречат за изпълнение на задълженията по настоящия договор.</w:t>
      </w:r>
    </w:p>
    <w:p>
      <w:pPr>
        <w:pStyle w:val="Heading3"/>
        <w:tabs>
          <w:tab w:val="clear" w:pos="851"/>
          <w:tab w:val="clear" w:pos="1135"/>
        </w:tabs>
        <w:rPr>
          <w:rFonts w:cs="Arial"/>
        </w:rPr>
      </w:pPr>
      <w:r>
        <w:rPr>
          <w:rFonts w:cs="Arial"/>
        </w:rPr>
        <w:lastRenderedPageBreak/>
        <w:t>Страната, заявяваща форсмажор, е длъжна да уведоми оперативно и изпрати известие до другата страна за настъпването и края на събитието или обстоятелството във възможно най-кратък срок, но не по-късно от 48 часа от узнаването за форсмажорното събитие. В срок от 10 работни дни след изпращане на известието, страната,  позоваваща се на форсмажор, представя на насрещната страна удостоверение за форсмажор, издадено от БТПП</w:t>
      </w:r>
      <w:r>
        <w:rPr>
          <w:rFonts w:cs="Arial"/>
          <w:lang w:val="ru-RU"/>
        </w:rPr>
        <w:t xml:space="preserve">, </w:t>
      </w:r>
      <w:r>
        <w:rPr>
          <w:rFonts w:cs="Arial"/>
        </w:rPr>
        <w:t>освен в случаите, в които насрещната страна е знаела или е била длъжна да знае за настъпването и последиците от форсмажорно обстоятелство.</w:t>
      </w:r>
    </w:p>
    <w:p>
      <w:pPr>
        <w:pStyle w:val="Heading3"/>
        <w:tabs>
          <w:tab w:val="clear" w:pos="851"/>
          <w:tab w:val="clear" w:pos="1135"/>
        </w:tabs>
        <w:rPr>
          <w:rFonts w:cs="Arial"/>
        </w:rPr>
      </w:pPr>
      <w:r>
        <w:rPr>
          <w:rFonts w:cs="Arial"/>
        </w:rPr>
        <w:t>В случаите по т.6.1</w:t>
      </w:r>
      <w:r>
        <w:rPr>
          <w:rFonts w:cs="Arial"/>
          <w:lang w:val="ru-RU"/>
        </w:rPr>
        <w:t>, се предприемат действията по т. 2.14 и 2.</w:t>
      </w:r>
      <w:r>
        <w:rPr>
          <w:rFonts w:cs="Arial"/>
        </w:rPr>
        <w:t>15.</w:t>
      </w:r>
    </w:p>
    <w:p>
      <w:pPr>
        <w:pStyle w:val="Heading6"/>
        <w:numPr>
          <w:ilvl w:val="0"/>
          <w:numId w:val="0"/>
        </w:numPr>
        <w:ind w:left="425"/>
      </w:pPr>
    </w:p>
    <w:p>
      <w:pPr>
        <w:pStyle w:val="Heading2"/>
      </w:pPr>
      <w:r>
        <w:br/>
      </w:r>
      <w:bookmarkStart w:id="13" w:name="_Ref309501540"/>
      <w:r>
        <w:t>Правила за обмен на документи и информация между страните</w:t>
      </w:r>
      <w:bookmarkEnd w:id="13"/>
    </w:p>
    <w:p>
      <w:pPr>
        <w:pStyle w:val="Heading3"/>
      </w:pPr>
      <w:r>
        <w:t>В случай че по време на действие на този договор настъпи промяна в представените при регистрацията на пазара на балансираща енергия данни, ТУ уведомява НПО по електронна поща в рамките на 5 (пет) работни дни от възникване на промяната, а впоследствие изпраща документите по пощата.</w:t>
      </w:r>
    </w:p>
    <w:p>
      <w:pPr>
        <w:pStyle w:val="Heading3"/>
      </w:pPr>
      <w:r>
        <w:t>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адреси на НПО и ТУ. При технически проблем изпращащата страна изпраща информацията по факс, като спазва срока за изпращане на съответния документ.</w:t>
      </w:r>
    </w:p>
    <w:p>
      <w:pPr>
        <w:pStyle w:val="Heading3"/>
      </w:pPr>
      <w:r>
        <w:t>ТУ се информира за дневните извлечения за сетълмент от системата за администриране на търговията с електрическа енергия, а обобщените извлечения за сетълмент се изпращат по електронна поща с потвърждение за получаване. В случай че ТУ не е получил обобщено извлечение по електронната поща, той уведомява НПО за това и НПО изпраща същия документ и по факс.</w:t>
      </w:r>
    </w:p>
    <w:p>
      <w:pPr>
        <w:pStyle w:val="Heading3"/>
      </w:pPr>
      <w:r>
        <w:t>Фактурите за балансираща енергия, издадени от НПО и ТУ, се изпращат с писмо с обратна разписка или по куриерска поща, освен в случаите когато ТУ се е съгласил да получава електронна фактура.</w:t>
      </w:r>
    </w:p>
    <w:p>
      <w:pPr>
        <w:pStyle w:val="Heading3"/>
      </w:pPr>
      <w:r>
        <w:t>Документ, изпратен по електронна поща, се счита за получен в момента на получаване на обратната разписка от сървъра на електронната поща на получателя. Документ, изпратен по факс, се счита за получен в отразения час върху документа, потвърждаващ изпращането му.</w:t>
      </w:r>
    </w:p>
    <w:p>
      <w:pPr>
        <w:pStyle w:val="Heading3"/>
      </w:pPr>
      <w:r>
        <w:t>При изпращане на документ по електронна поща и по факс за време на получаване се счита времето на първото получаване на документа.</w:t>
      </w:r>
    </w:p>
    <w:p>
      <w:pPr>
        <w:pStyle w:val="Heading3"/>
      </w:pPr>
      <w:r>
        <w:t>Всички документи, неизброени изрично в раздел 7 на този договор се изпращат по електронна поща с потвърждение за получаване.</w:t>
      </w:r>
    </w:p>
    <w:p>
      <w:pPr>
        <w:pStyle w:val="Heading3"/>
      </w:pPr>
      <w:r>
        <w:t>Документ се счита за валиден, ако е подписан или изпратен от съответно упълномощено лице от списъка лица в Заявлението за регистрация (за ТУ) и от Известието за приемане на заявлението за регистрация (за НПО).</w:t>
      </w:r>
    </w:p>
    <w:p>
      <w:pPr>
        <w:pStyle w:val="Heading3"/>
      </w:pPr>
      <w:r>
        <w:lastRenderedPageBreak/>
        <w:t>Документите, изпратени по факс съдържат име и подпис на лицето, упълномощено да подписва документи, във връзка с участието на пазара на балансираща енергия.</w:t>
      </w:r>
    </w:p>
    <w:p>
      <w:pPr>
        <w:pStyle w:val="Heading3"/>
      </w:pPr>
      <w:r>
        <w:t>Документите, изпратени по електронна поща се считат за валидни, ако са изпратени от електронния адрес на лицето, упълномощено да изпраща съответния документ.</w:t>
      </w:r>
    </w:p>
    <w:p>
      <w:pPr>
        <w:pStyle w:val="Heading3"/>
      </w:pPr>
      <w:r>
        <w:t>За целите на документооборота НПО и ТУ поддържат времето на сървърите на електронната поща синхронизирано с часовото време на България.</w:t>
      </w:r>
    </w:p>
    <w:p>
      <w:pPr>
        <w:pStyle w:val="Heading3"/>
      </w:pPr>
      <w:r>
        <w:t>Изисквания към сървъра за електронна поща:</w:t>
      </w:r>
    </w:p>
    <w:p>
      <w:pPr>
        <w:pStyle w:val="Heading3"/>
        <w:numPr>
          <w:ilvl w:val="0"/>
          <w:numId w:val="0"/>
        </w:numPr>
        <w:ind w:left="284"/>
      </w:pPr>
      <w:r>
        <w:t>Системният часовник на сървъра за електронна поща и на прехвърлящия (relay) сървър, ако има такъв, да се поддържа с отклонение по-малко от една минута от DST на часовия пояс, в който се намира България.</w:t>
      </w:r>
    </w:p>
    <w:p>
      <w:pPr>
        <w:pStyle w:val="Heading3"/>
      </w:pPr>
      <w:r>
        <w:t>Потвърждение и време за получените съобщения:</w:t>
      </w:r>
    </w:p>
    <w:p>
      <w:pPr>
        <w:pStyle w:val="Heading4"/>
        <w:tabs>
          <w:tab w:val="clear" w:pos="709"/>
          <w:tab w:val="num" w:pos="851"/>
        </w:tabs>
        <w:ind w:left="851"/>
      </w:pPr>
      <w:r>
        <w:t>Когато сървърът за електронна поща е свързан директно към интернет, за време на получаване на съобщенията ще се счита регистрираното време за получаване в сървъра, съдържащо се в обратната разписка - Delivery Receipt. Сървърът трябва да осигурява такава обратна разписка.</w:t>
      </w:r>
    </w:p>
    <w:p>
      <w:pPr>
        <w:pStyle w:val="Heading4"/>
        <w:tabs>
          <w:tab w:val="clear" w:pos="709"/>
          <w:tab w:val="num" w:pos="993"/>
        </w:tabs>
        <w:ind w:left="851"/>
      </w:pPr>
      <w:r>
        <w:t>Когато сървърът за електронна поща е свързан към интернет чрез прехвърлящ (relay)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p/>
    <w:p>
      <w:pPr>
        <w:pStyle w:val="Heading2"/>
      </w:pPr>
      <w:r>
        <w:br/>
        <w:t>Прекратяване на Договора за балансиране</w:t>
      </w:r>
    </w:p>
    <w:p>
      <w:pPr>
        <w:pStyle w:val="Heading3"/>
      </w:pPr>
      <w:r>
        <w:t>Договорът за балансиране се прекратява:</w:t>
      </w:r>
    </w:p>
    <w:p>
      <w:pPr>
        <w:pStyle w:val="Heading4"/>
        <w:ind w:hanging="567"/>
      </w:pPr>
      <w:r>
        <w:t>При заличаването на ТУ от регистъра на търговските участници, поддържан от НПО.</w:t>
      </w:r>
    </w:p>
    <w:p>
      <w:pPr>
        <w:pStyle w:val="Heading4"/>
        <w:ind w:hanging="567"/>
      </w:pPr>
      <w:r>
        <w:t>При заличаването на юридическото лице, страна по този договор.</w:t>
      </w:r>
    </w:p>
    <w:p>
      <w:pPr>
        <w:pStyle w:val="Heading4"/>
        <w:ind w:hanging="567"/>
      </w:pPr>
      <w:r>
        <w:t>При отнемане или прекратяване на лицензията на която и да е от страните по този договор за съответната дейност.</w:t>
      </w:r>
    </w:p>
    <w:p>
      <w:pPr>
        <w:pStyle w:val="Heading4"/>
        <w:ind w:hanging="567"/>
      </w:pPr>
      <w:r>
        <w:t>По взаимно съгласие между страните.</w:t>
      </w:r>
    </w:p>
    <w:p/>
    <w:p>
      <w:pPr>
        <w:pStyle w:val="Heading2"/>
      </w:pPr>
      <w:r>
        <w:br/>
        <w:t>Заключителни клаузи</w:t>
      </w:r>
    </w:p>
    <w:p>
      <w:pPr>
        <w:pStyle w:val="Heading3"/>
      </w:pPr>
      <w:r>
        <w:t>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p>
      <w:pPr>
        <w:pStyle w:val="Heading3"/>
      </w:pPr>
      <w:r>
        <w:lastRenderedPageBreak/>
        <w:t>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попълване празнота в договора или приспособяването му към нововъзникнали обстоятелства, както и противоречия, претенции или различия, произтичащи от или във връзка с настоящия договор, да се решават по пътя на преговори.</w:t>
      </w:r>
    </w:p>
    <w:p>
      <w:pPr>
        <w:pStyle w:val="Heading3"/>
      </w:pPr>
      <w:r>
        <w:t xml:space="preserve">При непостигане на съгласие, споровете ще бъдат </w:t>
      </w:r>
      <w:r>
        <w:rPr>
          <w:rFonts w:cs="Arial"/>
          <w:lang w:val="ru-RU"/>
        </w:rPr>
        <w:t xml:space="preserve">решавани от </w:t>
      </w:r>
      <w:r>
        <w:rPr>
          <w:rFonts w:cs="Arial"/>
          <w:lang w:val="be-BY"/>
        </w:rPr>
        <w:t>компетентния</w:t>
      </w:r>
      <w:r>
        <w:rPr>
          <w:rFonts w:cs="Arial"/>
          <w:lang w:val="en-US"/>
        </w:rPr>
        <w:t xml:space="preserve"> </w:t>
      </w:r>
      <w:r>
        <w:rPr>
          <w:rFonts w:cs="Arial"/>
          <w:lang w:val="be-BY"/>
        </w:rPr>
        <w:t>съд</w:t>
      </w:r>
      <w:r>
        <w:t xml:space="preserve"> в гр. София съгласно разпоредбите на действащото българско законодателство. </w:t>
      </w:r>
    </w:p>
    <w:p>
      <w:pPr>
        <w:pStyle w:val="Heading3"/>
      </w:pPr>
      <w:r>
        <w:t>Когато документацията и информацията по този договор съдържат данни, представляващи класифицирана информация, се прилага редът, предвиден в Закона за защита на класифицираната информация.</w:t>
      </w:r>
    </w:p>
    <w:p/>
    <w:p>
      <w:pPr>
        <w:pStyle w:val="Heading2"/>
      </w:pPr>
      <w:r>
        <w:br/>
        <w:t>Банкови сметки на страните</w:t>
      </w:r>
    </w:p>
    <w:p>
      <w:pPr>
        <w:pStyle w:val="Heading3"/>
        <w:rPr>
          <w:rFonts w:ascii="Times New Roman" w:hAnsi="Times New Roman"/>
          <w:sz w:val="24"/>
          <w:szCs w:val="24"/>
          <w:lang w:val="en-US"/>
        </w:rPr>
      </w:pPr>
      <w:r>
        <w:t>Име на банка, адрес и банкови сметки на НПО са посочени в сайта и във фактурите,</w:t>
      </w:r>
      <w:r>
        <w:rPr>
          <w:lang w:val="en-US"/>
        </w:rPr>
        <w:t xml:space="preserve"> </w:t>
      </w:r>
      <w:r>
        <w:t>издавани от ЕСО ЕАД.</w:t>
      </w:r>
    </w:p>
    <w:p>
      <w:pPr>
        <w:pStyle w:val="Heading3"/>
        <w:rPr>
          <w:lang w:val="en-US"/>
        </w:rPr>
      </w:pPr>
      <w:r>
        <w:t xml:space="preserve">Име на банка, адрес и банковата сметка на ТУ, от която и при която ще се извършват плащания по този договор: </w:t>
      </w:r>
      <w:r>
        <w:rPr>
          <w:lang w:val="ru-RU"/>
        </w:rPr>
        <w:tab/>
      </w:r>
      <w:r>
        <w:rPr>
          <w:lang w:val="ru-RU"/>
        </w:rPr>
        <w:br/>
      </w:r>
      <w:r>
        <w:t>………………………….…………………….……………………………….…………………….……</w:t>
      </w:r>
      <w:r>
        <w:rPr>
          <w:lang w:val="en-US"/>
        </w:rPr>
        <w:t>……………………………………………………………………………………………………………</w:t>
      </w:r>
    </w:p>
    <w:bookmarkEnd w:id="0"/>
    <w:p>
      <w:pPr>
        <w:spacing w:before="240"/>
      </w:pPr>
    </w:p>
    <w:p>
      <w:pPr>
        <w:spacing w:before="240"/>
      </w:pPr>
      <w:r>
        <w:t>Неразделна част от Договора са:</w:t>
      </w:r>
    </w:p>
    <w:p>
      <w:pPr>
        <w:pStyle w:val="Caption"/>
        <w:rPr>
          <w:lang w:val="ru-RU"/>
        </w:rPr>
      </w:pPr>
      <w:bookmarkStart w:id="14" w:name="_Ref298321821"/>
      <w:r>
        <w:t>Приложение №</w:t>
      </w:r>
      <w:bookmarkEnd w:id="14"/>
      <w:r>
        <w:t>1</w:t>
      </w:r>
      <w:r>
        <w:tab/>
        <w:t>Заявление за регистрация в пазара на балансираща енергия</w:t>
      </w:r>
      <w:r>
        <w:rPr>
          <w:lang w:val="ru-RU"/>
        </w:rPr>
        <w:t>.</w:t>
      </w:r>
    </w:p>
    <w:p>
      <w:pPr>
        <w:pStyle w:val="Caption"/>
        <w:rPr>
          <w:lang w:val="ru-RU"/>
        </w:rPr>
      </w:pPr>
      <w:bookmarkStart w:id="15" w:name="_Ref298316513"/>
      <w:r>
        <w:t>Приложение №2</w:t>
      </w:r>
      <w:r>
        <w:tab/>
        <w:t>Известие за приемане на заявлението за регистрация</w:t>
      </w:r>
      <w:r>
        <w:rPr>
          <w:lang w:val="ru-RU"/>
        </w:rPr>
        <w:t>.</w:t>
      </w:r>
    </w:p>
    <w:p>
      <w:pPr>
        <w:pStyle w:val="Caption"/>
        <w:rPr>
          <w:lang w:val="ru-RU"/>
        </w:rPr>
      </w:pPr>
      <w:bookmarkStart w:id="16" w:name="_Ref309503012"/>
      <w:r>
        <w:t>Приложение №</w:t>
      </w:r>
      <w:bookmarkEnd w:id="15"/>
      <w:bookmarkEnd w:id="16"/>
      <w:r>
        <w:t>3</w:t>
      </w:r>
      <w:r>
        <w:tab/>
        <w:t>Банкова гаранция (образец)</w:t>
      </w:r>
      <w:r>
        <w:rPr>
          <w:lang w:val="ru-RU"/>
        </w:rPr>
        <w:t>.</w:t>
      </w:r>
    </w:p>
    <w:p>
      <w:pPr>
        <w:spacing w:before="240"/>
      </w:pPr>
    </w:p>
    <w:p>
      <w:pPr>
        <w:spacing w:before="240"/>
      </w:pPr>
      <w:r>
        <w:t>Този договор е подписан в два еднообразни екземпляра - по един за всяка от страните.</w:t>
      </w:r>
    </w:p>
    <w:p>
      <w:pPr>
        <w:tabs>
          <w:tab w:val="left" w:pos="5670"/>
        </w:tabs>
        <w:spacing w:before="720"/>
        <w:rPr>
          <w:b/>
        </w:rPr>
      </w:pPr>
      <w:r>
        <w:rPr>
          <w:b/>
        </w:rPr>
        <w:t>ЗА ЕСО ЕАД</w:t>
      </w:r>
      <w:r>
        <w:rPr>
          <w:b/>
        </w:rPr>
        <w:tab/>
        <w:t>ЗА ТЪРГОВСКИЯ УЧАСТНИК</w:t>
      </w:r>
    </w:p>
    <w:p>
      <w:pPr>
        <w:tabs>
          <w:tab w:val="left" w:pos="5670"/>
        </w:tabs>
        <w:spacing w:before="360" w:after="40"/>
      </w:pPr>
      <w:r>
        <w:t>………………………</w:t>
      </w:r>
      <w:r>
        <w:tab/>
        <w:t>………………………</w:t>
      </w:r>
    </w:p>
    <w:p>
      <w:pPr>
        <w:tabs>
          <w:tab w:val="left" w:pos="5670"/>
        </w:tabs>
        <w:spacing w:before="40" w:after="40"/>
        <w:rPr>
          <w:lang w:val="ru-RU"/>
        </w:rPr>
      </w:pPr>
      <w:r>
        <w:t>АНГЕЛИН ЦАЧЕВ</w:t>
      </w:r>
      <w:r>
        <w:tab/>
        <w:t>……………………….</w:t>
      </w:r>
    </w:p>
    <w:p>
      <w:pPr>
        <w:tabs>
          <w:tab w:val="left" w:pos="5670"/>
        </w:tabs>
        <w:spacing w:before="40" w:after="40"/>
      </w:pPr>
      <w:r>
        <w:t>ИЗПЪЛНИТЕЛЕН ДИРЕКТОР</w:t>
      </w:r>
      <w:r>
        <w:tab/>
        <w:t>……………………….</w:t>
      </w:r>
    </w:p>
    <w:p>
      <w:pPr>
        <w:widowControl w:val="0"/>
        <w:autoSpaceDE w:val="0"/>
        <w:autoSpaceDN w:val="0"/>
        <w:adjustRightInd w:val="0"/>
        <w:spacing w:before="0" w:after="0" w:line="240" w:lineRule="auto"/>
        <w:ind w:left="5672" w:firstLine="709"/>
        <w:rPr>
          <w:b/>
          <w:bCs/>
        </w:rPr>
        <w:sectPr>
          <w:headerReference w:type="default" r:id="rId9"/>
          <w:footerReference w:type="default" r:id="rId10"/>
          <w:headerReference w:type="first" r:id="rId11"/>
          <w:footerReference w:type="first" r:id="rId12"/>
          <w:pgSz w:w="11906" w:h="16838"/>
          <w:pgMar w:top="1417" w:right="1417" w:bottom="1417" w:left="1417" w:header="709" w:footer="709" w:gutter="0"/>
          <w:cols w:space="708"/>
          <w:titlePg/>
          <w:docGrid w:linePitch="360"/>
        </w:sectPr>
      </w:pPr>
    </w:p>
    <w:p>
      <w:pPr>
        <w:widowControl w:val="0"/>
        <w:autoSpaceDE w:val="0"/>
        <w:autoSpaceDN w:val="0"/>
        <w:adjustRightInd w:val="0"/>
        <w:ind w:left="6381" w:firstLine="708"/>
        <w:rPr>
          <w:b/>
          <w:bCs/>
          <w:lang w:val="en-US"/>
        </w:rPr>
      </w:pPr>
      <w:r>
        <w:rPr>
          <w:b/>
          <w:bCs/>
        </w:rPr>
        <w:lastRenderedPageBreak/>
        <w:t xml:space="preserve">ПРИЛОЖЕНИЕ </w:t>
      </w:r>
      <w:r>
        <w:rPr>
          <w:b/>
        </w:rPr>
        <w:t>№</w:t>
      </w:r>
      <w:r>
        <w:rPr>
          <w:b/>
          <w:bCs/>
        </w:rPr>
        <w:t>3</w:t>
      </w:r>
      <w:r>
        <w:rPr>
          <w:b/>
          <w:bCs/>
          <w:lang w:val="en-US"/>
        </w:rPr>
        <w:tab/>
      </w:r>
      <w:r>
        <w:rPr>
          <w:b/>
          <w:bCs/>
          <w:lang w:val="en-US"/>
        </w:rPr>
        <w:tab/>
      </w:r>
      <w:r>
        <w:rPr>
          <w:b/>
          <w:bCs/>
          <w:lang w:val="en-US"/>
        </w:rPr>
        <w:tab/>
      </w:r>
    </w:p>
    <w:p>
      <w:pPr>
        <w:rPr>
          <w:b/>
          <w:szCs w:val="20"/>
          <w:lang w:val="en-US"/>
        </w:rPr>
      </w:pPr>
    </w:p>
    <w:p>
      <w:pPr>
        <w:rPr>
          <w:b/>
          <w:szCs w:val="20"/>
        </w:rPr>
      </w:pPr>
      <w:r>
        <w:rPr>
          <w:b/>
          <w:szCs w:val="20"/>
        </w:rPr>
        <w:t>До</w:t>
      </w:r>
    </w:p>
    <w:p>
      <w:pPr>
        <w:rPr>
          <w:b/>
          <w:szCs w:val="20"/>
        </w:rPr>
      </w:pPr>
      <w:r>
        <w:rPr>
          <w:b/>
          <w:szCs w:val="20"/>
        </w:rPr>
        <w:t>„Електроенергиен системен оператор“ ЕАД</w:t>
      </w:r>
    </w:p>
    <w:p>
      <w:pPr>
        <w:numPr>
          <w:ilvl w:val="0"/>
          <w:numId w:val="9"/>
        </w:numPr>
        <w:spacing w:before="360"/>
        <w:contextualSpacing/>
        <w:rPr>
          <w:b/>
          <w:szCs w:val="20"/>
        </w:rPr>
      </w:pPr>
      <w:r>
        <w:rPr>
          <w:b/>
          <w:szCs w:val="20"/>
        </w:rPr>
        <w:t>Банкова гаранция № …………………,</w:t>
      </w:r>
    </w:p>
    <w:p>
      <w:pPr>
        <w:rPr>
          <w:b/>
          <w:szCs w:val="20"/>
        </w:rPr>
      </w:pPr>
      <w:r>
        <w:rPr>
          <w:b/>
          <w:szCs w:val="20"/>
        </w:rPr>
        <w:t>Платима при първо поискване в размер на ………………… лв. (словом: …………………………………………………………………………… лева)</w:t>
      </w:r>
    </w:p>
    <w:p>
      <w:pPr>
        <w:rPr>
          <w:b/>
          <w:szCs w:val="20"/>
        </w:rPr>
      </w:pPr>
      <w:r>
        <w:rPr>
          <w:b/>
          <w:szCs w:val="20"/>
        </w:rPr>
        <w:t>Издадена в полза на „Електроенергиен системен оператор“ ЕАД, вписано в Търговския регистър на Агенцията по вписванията, ЕИК 175201304, с адрес на управление: 1</w:t>
      </w:r>
      <w:r>
        <w:rPr>
          <w:b/>
          <w:szCs w:val="20"/>
          <w:lang w:val="en-US"/>
        </w:rPr>
        <w:t>618</w:t>
      </w:r>
      <w:r>
        <w:rPr>
          <w:b/>
          <w:szCs w:val="20"/>
        </w:rPr>
        <w:t xml:space="preserve">, гр. София, бул. „Цар Борис </w:t>
      </w:r>
      <w:r>
        <w:rPr>
          <w:b/>
          <w:szCs w:val="20"/>
          <w:lang w:val="en-US"/>
        </w:rPr>
        <w:t>III</w:t>
      </w:r>
      <w:r>
        <w:rPr>
          <w:b/>
          <w:szCs w:val="20"/>
        </w:rPr>
        <w:t>“ №</w:t>
      </w:r>
      <w:r>
        <w:rPr>
          <w:b/>
          <w:szCs w:val="20"/>
          <w:lang w:val="en-US"/>
        </w:rPr>
        <w:t>201</w:t>
      </w:r>
      <w:r>
        <w:rPr>
          <w:b/>
          <w:szCs w:val="20"/>
        </w:rPr>
        <w:t>, Столична община - район „Витоша“.</w:t>
      </w:r>
    </w:p>
    <w:p>
      <w:pPr>
        <w:numPr>
          <w:ilvl w:val="4"/>
          <w:numId w:val="8"/>
        </w:numPr>
        <w:tabs>
          <w:tab w:val="num" w:pos="360"/>
          <w:tab w:val="num" w:pos="425"/>
        </w:tabs>
        <w:ind w:left="0" w:firstLine="0"/>
        <w:outlineLvl w:val="4"/>
        <w:rPr>
          <w:rFonts w:eastAsia="Times New Roman"/>
        </w:rPr>
      </w:pPr>
      <w:r>
        <w:rPr>
          <w:rFonts w:eastAsia="Times New Roman"/>
        </w:rPr>
        <w:t>С настоящото гарантираме изрично, неотменимо, безусловно и безрезервно на Вас („Електроенергиен системен оператор“ ЕАД, по-нататък наричан „ЕСО“), отказвайки се от всички права на възражение и разделяне на отговорността само за нашата страна, пълното и незабавно плащане на Вас от ……………….……………….…………………, чиито седалище и адрес на управление е ……………….……………….……………….…, ЕИК …………………, (по-нататък наричано „Клиент“), без прихващане или насрещен иск, в размер на ………………… лв., което се задължаваме да платим на Вас (ЕСО) незабавно при Ваше поискване, в случай че нашият Клиент не изпълни някое от своите задължения по силата на сключения от него с Вас Договор за балансиране №…………… и независимо от валидността на този договор.</w:t>
      </w:r>
    </w:p>
    <w:p>
      <w:pPr>
        <w:numPr>
          <w:ilvl w:val="4"/>
          <w:numId w:val="8"/>
        </w:numPr>
        <w:tabs>
          <w:tab w:val="num" w:pos="360"/>
          <w:tab w:val="num" w:pos="425"/>
        </w:tabs>
        <w:ind w:left="0" w:firstLine="0"/>
        <w:outlineLvl w:val="4"/>
        <w:rPr>
          <w:rFonts w:eastAsia="Times New Roman"/>
        </w:rPr>
      </w:pPr>
      <w:r>
        <w:rPr>
          <w:rFonts w:eastAsia="Times New Roman"/>
        </w:rPr>
        <w:t>Приемаме като независимо и основно задължение да компенсираме Вас за всички загуби, задължения, разходи и разноски, произтекли за Ваша сметка в резултат на:</w:t>
      </w:r>
      <w:r>
        <w:rPr>
          <w:rFonts w:eastAsia="Times New Roman"/>
          <w:lang w:val="en-US"/>
        </w:rPr>
        <w:tab/>
      </w:r>
      <w:r>
        <w:rPr>
          <w:rFonts w:eastAsia="Times New Roman"/>
          <w:lang w:val="en-US"/>
        </w:rPr>
        <w:br/>
      </w:r>
      <w:r>
        <w:rPr>
          <w:rFonts w:eastAsia="Times New Roman"/>
        </w:rPr>
        <w:t>(1)</w:t>
      </w:r>
      <w:r>
        <w:rPr>
          <w:rFonts w:eastAsia="Times New Roman"/>
          <w:lang w:val="en-US"/>
        </w:rPr>
        <w:tab/>
      </w:r>
      <w:r>
        <w:rPr>
          <w:rFonts w:eastAsia="Times New Roman"/>
        </w:rPr>
        <w:t>неизпълнение или непогасяване от Клиента на някое от платежните му задължения на съответния падеж;</w:t>
      </w:r>
      <w:r>
        <w:rPr>
          <w:rFonts w:eastAsia="Times New Roman"/>
          <w:lang w:val="en-US"/>
        </w:rPr>
        <w:tab/>
      </w:r>
      <w:r>
        <w:rPr>
          <w:rFonts w:eastAsia="Times New Roman"/>
          <w:lang w:val="en-US"/>
        </w:rPr>
        <w:br/>
      </w:r>
      <w:r>
        <w:rPr>
          <w:rFonts w:eastAsia="Times New Roman"/>
        </w:rPr>
        <w:t>(2)</w:t>
      </w:r>
      <w:r>
        <w:rPr>
          <w:rFonts w:eastAsia="Times New Roman"/>
          <w:lang w:val="en-US"/>
        </w:rPr>
        <w:tab/>
      </w:r>
      <w:r>
        <w:rPr>
          <w:rFonts w:eastAsia="Times New Roman"/>
        </w:rPr>
        <w:t>неизпълнимост, невалидност или незаконност на някое от платежните задължения на Клиента по отношение на Договор за балансиране №……………, чиято обща стойност не надвишава ………………… лева. Приемаме като независимо и основно задължение да платим незабавно след получаване на вашето искане всички дължими суми по отношение на Договор за балансиране №……………, които не надвишават ………………… лева. Всяка дължима сума по този параграф е възстановима от нас като възникнало за нас задължение в качеството ни на единствен или основен длъжник.</w:t>
      </w:r>
    </w:p>
    <w:p>
      <w:pPr>
        <w:numPr>
          <w:ilvl w:val="4"/>
          <w:numId w:val="8"/>
        </w:numPr>
        <w:tabs>
          <w:tab w:val="num" w:pos="360"/>
          <w:tab w:val="num" w:pos="425"/>
        </w:tabs>
        <w:ind w:left="0" w:firstLine="0"/>
        <w:outlineLvl w:val="4"/>
        <w:rPr>
          <w:rFonts w:eastAsia="Times New Roman"/>
        </w:rPr>
      </w:pPr>
      <w:r>
        <w:rPr>
          <w:rFonts w:eastAsia="Times New Roman"/>
        </w:rPr>
        <w:t xml:space="preserve">Тази гаранция е валидна докато нашият Клиент не погаси всички свои задължения, произтичащи от Договор за балансиране №……………, така както е описано в същия, до изтичане на срока й, а именно до тридесет и първи (31) януари </w:t>
      </w:r>
      <w:r>
        <w:rPr>
          <w:rFonts w:eastAsia="Times New Roman"/>
          <w:lang w:val="en-US"/>
        </w:rPr>
        <w:t>………</w:t>
      </w:r>
      <w:r>
        <w:rPr>
          <w:rFonts w:eastAsia="Times New Roman"/>
        </w:rPr>
        <w:t xml:space="preserve"> г.</w:t>
      </w:r>
    </w:p>
    <w:p>
      <w:pPr>
        <w:numPr>
          <w:ilvl w:val="4"/>
          <w:numId w:val="8"/>
        </w:numPr>
        <w:tabs>
          <w:tab w:val="num" w:pos="360"/>
          <w:tab w:val="num" w:pos="425"/>
        </w:tabs>
        <w:ind w:left="0" w:firstLine="0"/>
        <w:outlineLvl w:val="4"/>
        <w:rPr>
          <w:rFonts w:eastAsia="Times New Roman"/>
        </w:rPr>
      </w:pPr>
      <w:r>
        <w:rPr>
          <w:rFonts w:eastAsia="Times New Roman"/>
        </w:rPr>
        <w:t>С настоящото се ангажираме и задължаваме да платим на Вас (ЕСО), незабавно след получаване на вашето просто писмено поискване, без оспорване или възражения и без прихващане или насрещен иск, всяка сума до максималния размер от (словом: ……………………………………………………………………………), която сте установили за дължима на Вас (ЕСО), в случай че нашият Клиент не изпълни всички или някое от своите задължения според Договор за балансиране №…………….</w:t>
      </w:r>
    </w:p>
    <w:p>
      <w:pPr>
        <w:numPr>
          <w:ilvl w:val="4"/>
          <w:numId w:val="8"/>
        </w:numPr>
        <w:tabs>
          <w:tab w:val="num" w:pos="360"/>
          <w:tab w:val="num" w:pos="425"/>
        </w:tabs>
        <w:ind w:left="0" w:firstLine="0"/>
        <w:outlineLvl w:val="4"/>
        <w:rPr>
          <w:rFonts w:eastAsia="Times New Roman"/>
        </w:rPr>
      </w:pPr>
      <w:r>
        <w:rPr>
          <w:rFonts w:eastAsia="Times New Roman" w:cs="Arial"/>
        </w:rPr>
        <w:lastRenderedPageBreak/>
        <w:t>За целите на удостоверяване писменото поискване за плащане на ЕСО трябва да бъде представено с посредничеството на обслужващата Ви банка с потвърждение, че положените подписи са правно обвързващи за ЕСО. Ако за целта обслужващата Ви банка, използва сигурен</w:t>
      </w:r>
      <w:r>
        <w:rPr>
          <w:rFonts w:eastAsia="Times New Roman" w:cs="Arial"/>
          <w:lang w:val="en-US"/>
        </w:rPr>
        <w:t xml:space="preserve"> SWIFT</w:t>
      </w:r>
      <w:r>
        <w:rPr>
          <w:rFonts w:eastAsia="Times New Roman" w:cs="Arial"/>
        </w:rPr>
        <w:t>, тя трябва при всички положения да изпрати пълния текст на искането за плащане на ЕСО и същевременно да потвърди, че оригиналите на тези документи са изпратени до нас по специална куриерска служба</w:t>
      </w:r>
      <w:r>
        <w:rPr>
          <w:rFonts w:eastAsia="Times New Roman"/>
        </w:rPr>
        <w:t>.</w:t>
      </w:r>
    </w:p>
    <w:p>
      <w:pPr>
        <w:numPr>
          <w:ilvl w:val="4"/>
          <w:numId w:val="8"/>
        </w:numPr>
        <w:tabs>
          <w:tab w:val="num" w:pos="360"/>
          <w:tab w:val="num" w:pos="425"/>
        </w:tabs>
        <w:ind w:left="0" w:firstLine="0"/>
        <w:outlineLvl w:val="4"/>
        <w:rPr>
          <w:rFonts w:eastAsia="Times New Roman"/>
        </w:rPr>
      </w:pPr>
      <w:r>
        <w:rPr>
          <w:rFonts w:eastAsia="Times New Roman"/>
        </w:rPr>
        <w:t>Вашето решение е задължително за нас и се задължаваме да платим незабавно след получаване на вашето поискване всяка посочена сума или суми, чиито общ размер не надвишава (словом: ……………………………………………………………………………), без лихви, начисления, допълнителни такси, прихващане или насрещен иск, съгласно вашите указания, без да изискваме потвърждение, съгласие или каквото и да било друго действие от нашия Клиент и без правото да вземем под внимание евентуално оспорване или възражение от страна на Клиента.</w:t>
      </w:r>
    </w:p>
    <w:p>
      <w:pPr>
        <w:numPr>
          <w:ilvl w:val="4"/>
          <w:numId w:val="8"/>
        </w:numPr>
        <w:tabs>
          <w:tab w:val="num" w:pos="360"/>
          <w:tab w:val="num" w:pos="425"/>
        </w:tabs>
        <w:ind w:left="0" w:firstLine="0"/>
        <w:outlineLvl w:val="4"/>
        <w:rPr>
          <w:rFonts w:eastAsia="Times New Roman"/>
        </w:rPr>
      </w:pPr>
      <w:r>
        <w:rPr>
          <w:rFonts w:eastAsia="Times New Roman"/>
        </w:rPr>
        <w:t>Настоящата гаранция и компенсация е валидна до изтичане на срока й, а именно до 31.01…</w:t>
      </w:r>
      <w:r>
        <w:rPr>
          <w:rFonts w:eastAsia="Times New Roman"/>
          <w:lang w:val="en-US"/>
        </w:rPr>
        <w:t>…..</w:t>
      </w:r>
      <w:r>
        <w:rPr>
          <w:rFonts w:eastAsia="Times New Roman"/>
        </w:rPr>
        <w:t xml:space="preserve"> г., на която дата престава да бъде в сила, без обаче това да засяга нашите задължения по нея във връзка с дължими суми към вас, възникнали и предявени от Вас преди тази дата, които остават изцяло дължими и валидни до пълното им погасяване.</w:t>
      </w:r>
    </w:p>
    <w:p>
      <w:pPr>
        <w:numPr>
          <w:ilvl w:val="4"/>
          <w:numId w:val="8"/>
        </w:numPr>
        <w:tabs>
          <w:tab w:val="num" w:pos="360"/>
          <w:tab w:val="num" w:pos="425"/>
        </w:tabs>
        <w:ind w:left="0" w:firstLine="0"/>
        <w:outlineLvl w:val="4"/>
        <w:rPr>
          <w:rFonts w:eastAsia="Times New Roman"/>
        </w:rPr>
      </w:pPr>
      <w:r>
        <w:rPr>
          <w:rFonts w:eastAsia="Times New Roman"/>
        </w:rPr>
        <w:t>Промяна или преустановяване на фактически или правни отношения или връзки между нас и нашия Клиент не ни освобождава от задълженията ни по настоящата гаранция. Нашите задължения, произтичащи от настоящата гаранция и компенсация, остават в сила и няма да бъдем освободени от тях, ако нашият Клиент е обявил банкрут или е в процес на ликвидация, или е разформирован, или в случай на принудителна административна или друга уместна процедура, или ако Клиентът е получил компенсации или прихваща сума във връзка с иск срещу вас (ЕСО). Всички условия на настоящата гаранция и компенсация остават в пълна сила, независимо от евентуална промяна във финансовото или правно състояние на нашия Клиент.</w:t>
      </w:r>
    </w:p>
    <w:p>
      <w:pPr>
        <w:numPr>
          <w:ilvl w:val="4"/>
          <w:numId w:val="8"/>
        </w:numPr>
        <w:tabs>
          <w:tab w:val="num" w:pos="360"/>
          <w:tab w:val="num" w:pos="425"/>
        </w:tabs>
        <w:ind w:left="0" w:firstLine="0"/>
        <w:outlineLvl w:val="4"/>
        <w:rPr>
          <w:rFonts w:eastAsia="Times New Roman"/>
        </w:rPr>
      </w:pPr>
      <w:r>
        <w:rPr>
          <w:rFonts w:eastAsia="Times New Roman" w:cs="Arial"/>
        </w:rPr>
        <w:t xml:space="preserve">Настоящата гаранция и компенсация и всички произтичащи от нея положения се ръководят от българското законодателство. Всеки спор, възникнал от или във връзка с тази гаранция, ще бъде отнесен за решаване пред компетентния съд в гр. София. </w:t>
      </w:r>
    </w:p>
    <w:p>
      <w:pPr>
        <w:numPr>
          <w:ilvl w:val="4"/>
          <w:numId w:val="8"/>
        </w:numPr>
        <w:tabs>
          <w:tab w:val="num" w:pos="360"/>
          <w:tab w:val="num" w:pos="425"/>
        </w:tabs>
        <w:ind w:left="0" w:firstLine="0"/>
        <w:outlineLvl w:val="4"/>
        <w:rPr>
          <w:rFonts w:eastAsia="Times New Roman"/>
        </w:rPr>
      </w:pPr>
      <w:r>
        <w:rPr>
          <w:rFonts w:eastAsia="Times New Roman"/>
        </w:rPr>
        <w:t>Настоящата гаранция може да бъде освободена и преди изтичане на валидността й само след като получим обратно нейния оригинал, върху който бъде отразено съгласието на ЕСО с направеното връщане.</w:t>
      </w:r>
    </w:p>
    <w:p>
      <w:pPr>
        <w:numPr>
          <w:ilvl w:val="4"/>
          <w:numId w:val="8"/>
        </w:numPr>
        <w:tabs>
          <w:tab w:val="num" w:pos="360"/>
          <w:tab w:val="num" w:pos="425"/>
        </w:tabs>
        <w:ind w:left="0" w:firstLine="0"/>
        <w:outlineLvl w:val="4"/>
        <w:rPr>
          <w:rFonts w:eastAsia="Times New Roman"/>
        </w:rPr>
      </w:pPr>
      <w:r>
        <w:rPr>
          <w:rFonts w:eastAsia="Times New Roman"/>
        </w:rPr>
        <w:t>С настоящото гарантираме, че сумата на тази гаранция не надвишава законово определения лимит за нашата банка.</w:t>
      </w:r>
    </w:p>
    <w:p>
      <w:pPr>
        <w:spacing w:before="360"/>
        <w:rPr>
          <w:szCs w:val="20"/>
          <w:lang w:val="en-US"/>
        </w:rPr>
      </w:pPr>
      <w:r>
        <w:rPr>
          <w:szCs w:val="20"/>
        </w:rPr>
        <w:t xml:space="preserve">В ПОТВЪРЖДЕНИЕ НА ГОРНОТО, настоящата гаранция е подписана на </w:t>
      </w:r>
      <w:r>
        <w:t>…………………</w:t>
      </w:r>
    </w:p>
    <w:p>
      <w:pPr>
        <w:spacing w:before="360"/>
        <w:rPr>
          <w:szCs w:val="20"/>
        </w:rPr>
      </w:pPr>
      <w:r>
        <w:rPr>
          <w:szCs w:val="20"/>
        </w:rPr>
        <w:t>Подпис на издателя на гаранцията:</w:t>
      </w:r>
    </w:p>
    <w:p>
      <w:pPr>
        <w:rPr>
          <w:rFonts w:cs="Arial"/>
          <w:lang w:val="en-US"/>
        </w:rPr>
      </w:pPr>
    </w:p>
    <w:sectPr>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rPr>
        <w:lang w:val="en-US"/>
      </w:rPr>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Pr>
        <w:noProof/>
      </w:rPr>
      <w:t>10</w:t>
    </w:r>
    <w:r>
      <w:rPr>
        <w:noProof/>
      </w:rPr>
      <w:fldChar w:fldCharType="end"/>
    </w:r>
    <w:r>
      <w:rPr>
        <w:lang w:val="en-US"/>
      </w:rPr>
      <w:t>/</w:t>
    </w:r>
    <w:fldSimple w:instr=" NUMPAGES   \* MERGEFORMAT ">
      <w:r>
        <w:rPr>
          <w:noProof/>
          <w:lang w:val="en-US"/>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rPr>
        <w:lang w:val="en-US"/>
      </w:rPr>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Pr>
        <w:noProof/>
      </w:rPr>
      <w:t>9</w:t>
    </w:r>
    <w:r>
      <w:rPr>
        <w:noProof/>
      </w:rPr>
      <w:fldChar w:fldCharType="end"/>
    </w:r>
    <w:r>
      <w:rPr>
        <w:lang w:val="en-US"/>
      </w:rPr>
      <w:t>/</w:t>
    </w:r>
    <w:fldSimple w:instr=" NUMPAGES   \* MERGEFORMAT ">
      <w:r>
        <w:rPr>
          <w:noProof/>
          <w:lang w:val="en-US"/>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3C3"/>
    <w:multiLevelType w:val="multilevel"/>
    <w:tmpl w:val="A2F2A93C"/>
    <w:styleLink w:val="StyleNormativeDoc"/>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EAB3633"/>
    <w:multiLevelType w:val="multilevel"/>
    <w:tmpl w:val="76BEE2BA"/>
    <w:styleLink w:val="Style2"/>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9EF7F90"/>
    <w:multiLevelType w:val="multilevel"/>
    <w:tmpl w:val="0402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6355239"/>
    <w:multiLevelType w:val="hybridMultilevel"/>
    <w:tmpl w:val="B71665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4413812"/>
    <w:multiLevelType w:val="multilevel"/>
    <w:tmpl w:val="82E64F2E"/>
    <w:lvl w:ilvl="0">
      <w:start w:val="9"/>
      <w:numFmt w:val="decimal"/>
      <w:lvlText w:val="%1."/>
      <w:lvlJc w:val="left"/>
      <w:pPr>
        <w:tabs>
          <w:tab w:val="num" w:pos="708"/>
        </w:tabs>
        <w:ind w:left="708" w:hanging="708"/>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9C0069"/>
    <w:multiLevelType w:val="multilevel"/>
    <w:tmpl w:val="B4B8971A"/>
    <w:styleLink w:val="Style1"/>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2125409"/>
    <w:multiLevelType w:val="multilevel"/>
    <w:tmpl w:val="1032B9CC"/>
    <w:styleLink w:val="Style3"/>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7D1399E"/>
    <w:multiLevelType w:val="hybridMultilevel"/>
    <w:tmpl w:val="2132C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83C4AC8"/>
    <w:multiLevelType w:val="multilevel"/>
    <w:tmpl w:val="5A525480"/>
    <w:styleLink w:val="Style5"/>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07A6337"/>
    <w:multiLevelType w:val="multilevel"/>
    <w:tmpl w:val="303826F0"/>
    <w:lvl w:ilvl="0">
      <w:start w:val="1"/>
      <w:numFmt w:val="none"/>
      <w:pStyle w:val="Heading1"/>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66"/>
      <w:numFmt w:val="decimal"/>
      <w:lvlRestart w:val="1"/>
      <w:lvlText w:val="Чл.%3"/>
      <w:lvlJc w:val="left"/>
      <w:pPr>
        <w:tabs>
          <w:tab w:val="num" w:pos="851"/>
        </w:tabs>
        <w:ind w:left="851" w:hanging="851"/>
      </w:pPr>
      <w:rPr>
        <w:rFonts w:ascii="Times New Roman" w:hAnsi="Times New Roman"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2092E96"/>
    <w:multiLevelType w:val="multilevel"/>
    <w:tmpl w:val="49F0CC8A"/>
    <w:lvl w:ilvl="0">
      <w:start w:val="1"/>
      <w:numFmt w:val="none"/>
      <w:suff w:val="nothing"/>
      <w:lvlText w:val="%1"/>
      <w:lvlJc w:val="center"/>
      <w:pPr>
        <w:ind w:left="0" w:firstLine="0"/>
      </w:pPr>
      <w:rPr>
        <w:rFonts w:ascii="Times New Roman" w:hAnsi="Times New Roman" w:hint="default"/>
        <w:b/>
        <w:i w:val="0"/>
        <w:sz w:val="24"/>
      </w:rPr>
    </w:lvl>
    <w:lvl w:ilvl="1">
      <w:start w:val="1"/>
      <w:numFmt w:val="decimal"/>
      <w:pStyle w:val="Heading2"/>
      <w:suff w:val="space"/>
      <w:lvlText w:val="Раздел %2"/>
      <w:lvlJc w:val="center"/>
      <w:pPr>
        <w:ind w:left="0" w:firstLine="567"/>
      </w:pPr>
      <w:rPr>
        <w:rFonts w:ascii="Arial" w:hAnsi="Arial" w:hint="default"/>
        <w:b/>
        <w:i w:val="0"/>
        <w:sz w:val="22"/>
      </w:rPr>
    </w:lvl>
    <w:lvl w:ilvl="2">
      <w:start w:val="1"/>
      <w:numFmt w:val="decimal"/>
      <w:pStyle w:val="Heading3"/>
      <w:lvlText w:val="%2.%3"/>
      <w:lvlJc w:val="left"/>
      <w:pPr>
        <w:tabs>
          <w:tab w:val="num" w:pos="1135"/>
        </w:tabs>
        <w:ind w:left="284" w:firstLine="0"/>
      </w:pPr>
      <w:rPr>
        <w:rFonts w:ascii="Arial" w:hAnsi="Arial" w:cs="Times New Roman" w:hint="default"/>
        <w:b w:val="0"/>
        <w:i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2.%3.%4"/>
      <w:lvlJc w:val="left"/>
      <w:pPr>
        <w:tabs>
          <w:tab w:val="num" w:pos="709"/>
        </w:tabs>
        <w:ind w:left="709" w:hanging="709"/>
      </w:pPr>
      <w:rPr>
        <w:rFonts w:ascii="Arial" w:hAnsi="Arial" w:hint="default"/>
        <w:b w:val="0"/>
        <w:i w:val="0"/>
        <w:sz w:val="22"/>
      </w:rPr>
    </w:lvl>
    <w:lvl w:ilvl="4">
      <w:start w:val="1"/>
      <w:numFmt w:val="decimal"/>
      <w:pStyle w:val="Heading5"/>
      <w:lvlText w:val="%5."/>
      <w:lvlJc w:val="left"/>
      <w:pPr>
        <w:tabs>
          <w:tab w:val="num" w:pos="709"/>
        </w:tabs>
        <w:ind w:left="709" w:hanging="425"/>
      </w:pPr>
      <w:rPr>
        <w:rFonts w:ascii="Arial" w:hAnsi="Arial" w:hint="default"/>
        <w:b w:val="0"/>
        <w:i w:val="0"/>
        <w:sz w:val="22"/>
        <w:szCs w:val="20"/>
      </w:rPr>
    </w:lvl>
    <w:lvl w:ilvl="5">
      <w:start w:val="1"/>
      <w:numFmt w:val="bullet"/>
      <w:pStyle w:val="Heading6"/>
      <w:lvlText w:val=""/>
      <w:lvlJc w:val="left"/>
      <w:pPr>
        <w:tabs>
          <w:tab w:val="num" w:pos="709"/>
        </w:tabs>
        <w:ind w:left="709" w:hanging="284"/>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9"/>
  </w:num>
  <w:num w:numId="3">
    <w:abstractNumId w:val="5"/>
  </w:num>
  <w:num w:numId="4">
    <w:abstractNumId w:val="1"/>
  </w:num>
  <w:num w:numId="5">
    <w:abstractNumId w:val="6"/>
  </w:num>
  <w:num w:numId="6">
    <w:abstractNumId w:val="2"/>
  </w:num>
  <w:num w:numId="7">
    <w:abstractNumId w:val="8"/>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3"/>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0"/>
  <w:defaultTabStop w:val="454"/>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pPr>
      <w:keepNext/>
      <w:keepLines/>
      <w:numPr>
        <w:numId w:val="2"/>
      </w:numPr>
      <w:spacing w:before="480" w:after="240"/>
      <w:jc w:val="center"/>
      <w:outlineLvl w:val="0"/>
    </w:pPr>
    <w:rPr>
      <w:rFonts w:eastAsia="Times New Roman"/>
      <w:b/>
      <w:bCs/>
      <w:smallCaps/>
      <w:spacing w:val="20"/>
      <w:sz w:val="24"/>
      <w:szCs w:val="24"/>
    </w:rPr>
  </w:style>
  <w:style w:type="paragraph" w:styleId="Heading2">
    <w:name w:val="heading 2"/>
    <w:basedOn w:val="Normal"/>
    <w:next w:val="Normal"/>
    <w:link w:val="Heading2Char1"/>
    <w:autoRedefine/>
    <w:uiPriority w:val="9"/>
    <w:qFormat/>
    <w:pPr>
      <w:keepNext/>
      <w:keepLines/>
      <w:numPr>
        <w:ilvl w:val="1"/>
        <w:numId w:val="10"/>
      </w:numPr>
      <w:spacing w:before="240"/>
      <w:jc w:val="center"/>
      <w:outlineLvl w:val="1"/>
    </w:pPr>
    <w:rPr>
      <w:rFonts w:eastAsia="Times New Roman"/>
      <w:b/>
      <w:bCs/>
      <w:szCs w:val="26"/>
    </w:rPr>
  </w:style>
  <w:style w:type="paragraph" w:styleId="Heading3">
    <w:name w:val="heading 3"/>
    <w:basedOn w:val="Normal"/>
    <w:next w:val="Normal"/>
    <w:link w:val="Heading3Char1"/>
    <w:autoRedefine/>
    <w:uiPriority w:val="9"/>
    <w:qFormat/>
    <w:pPr>
      <w:numPr>
        <w:ilvl w:val="2"/>
        <w:numId w:val="10"/>
      </w:numPr>
      <w:tabs>
        <w:tab w:val="left" w:pos="851"/>
      </w:tabs>
      <w:ind w:left="0"/>
      <w:outlineLvl w:val="2"/>
    </w:pPr>
    <w:rPr>
      <w:rFonts w:eastAsia="Times New Roman"/>
      <w:bCs/>
    </w:rPr>
  </w:style>
  <w:style w:type="paragraph" w:styleId="Heading4">
    <w:name w:val="heading 4"/>
    <w:basedOn w:val="Normal"/>
    <w:next w:val="Normal"/>
    <w:link w:val="Heading4Char1"/>
    <w:uiPriority w:val="9"/>
    <w:qFormat/>
    <w:pPr>
      <w:keepLines/>
      <w:numPr>
        <w:ilvl w:val="3"/>
        <w:numId w:val="10"/>
      </w:numPr>
      <w:outlineLvl w:val="3"/>
    </w:pPr>
    <w:rPr>
      <w:rFonts w:eastAsia="Times New Roman"/>
      <w:bCs/>
      <w:iCs/>
    </w:rPr>
  </w:style>
  <w:style w:type="paragraph" w:styleId="Heading5">
    <w:name w:val="heading 5"/>
    <w:basedOn w:val="Normal"/>
    <w:next w:val="Normal"/>
    <w:link w:val="Heading5Char1"/>
    <w:uiPriority w:val="9"/>
    <w:qFormat/>
    <w:pPr>
      <w:keepLines/>
      <w:numPr>
        <w:ilvl w:val="4"/>
        <w:numId w:val="10"/>
      </w:numPr>
      <w:spacing w:before="60" w:after="60"/>
      <w:outlineLvl w:val="4"/>
    </w:pPr>
    <w:rPr>
      <w:rFonts w:eastAsia="Times New Roman"/>
    </w:rPr>
  </w:style>
  <w:style w:type="paragraph" w:styleId="Heading6">
    <w:name w:val="heading 6"/>
    <w:basedOn w:val="Normal"/>
    <w:next w:val="Normal"/>
    <w:link w:val="Heading6Char"/>
    <w:uiPriority w:val="9"/>
    <w:qFormat/>
    <w:pPr>
      <w:keepLines/>
      <w:numPr>
        <w:ilvl w:val="5"/>
        <w:numId w:val="10"/>
      </w:numPr>
      <w:outlineLvl w:val="5"/>
    </w:pPr>
    <w:rPr>
      <w:rFonts w:eastAsia="Times New Roman"/>
      <w:iCs/>
    </w:rPr>
  </w:style>
  <w:style w:type="paragraph" w:styleId="Heading7">
    <w:name w:val="heading 7"/>
    <w:basedOn w:val="Normal"/>
    <w:next w:val="Normal"/>
    <w:link w:val="Heading7Char2"/>
    <w:uiPriority w:val="9"/>
    <w:qFormat/>
    <w:pPr>
      <w:keepNext/>
      <w:keepLines/>
      <w:spacing w:before="200" w:after="0"/>
      <w:outlineLvl w:val="6"/>
    </w:pPr>
    <w:rPr>
      <w:rFonts w:eastAsia="Times New Roman"/>
      <w:iCs/>
      <w:color w:val="0D0D0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b/>
      <w:bCs/>
      <w:smallCaps/>
      <w:spacing w:val="20"/>
      <w:sz w:val="24"/>
      <w:szCs w:val="24"/>
      <w:lang w:eastAsia="en-US"/>
    </w:rPr>
  </w:style>
  <w:style w:type="character" w:customStyle="1" w:styleId="Heading2Char">
    <w:name w:val="Heading 2 Char"/>
    <w:uiPriority w:val="9"/>
    <w:semiHidden/>
    <w:rPr>
      <w:rFonts w:ascii="Cambria" w:eastAsia="Times New Roman" w:hAnsi="Cambria" w:cs="Times New Roman"/>
      <w:b/>
      <w:bCs/>
      <w:color w:val="4F81BD"/>
      <w:sz w:val="26"/>
      <w:szCs w:val="26"/>
    </w:rPr>
  </w:style>
  <w:style w:type="character" w:customStyle="1" w:styleId="Heading3Char">
    <w:name w:val="Heading 3 Char"/>
    <w:uiPriority w:val="9"/>
    <w:semiHidden/>
    <w:rPr>
      <w:rFonts w:ascii="Cambria" w:eastAsia="Times New Roman" w:hAnsi="Cambria" w:cs="Times New Roman"/>
      <w:b/>
      <w:bCs/>
      <w:color w:val="4F81BD"/>
    </w:rPr>
  </w:style>
  <w:style w:type="character" w:customStyle="1" w:styleId="Heading4Char">
    <w:name w:val="Heading 4 Char"/>
    <w:uiPriority w:val="9"/>
    <w:semiHidden/>
    <w:rPr>
      <w:rFonts w:ascii="Cambria" w:eastAsia="Times New Roman" w:hAnsi="Cambria" w:cs="Times New Roman"/>
      <w:b/>
      <w:bCs/>
      <w:i/>
      <w:iCs/>
      <w:color w:val="4F81BD"/>
    </w:rPr>
  </w:style>
  <w:style w:type="character" w:customStyle="1" w:styleId="Heading5Char">
    <w:name w:val="Heading 5 Char"/>
    <w:uiPriority w:val="9"/>
    <w:semiHidden/>
    <w:rPr>
      <w:rFonts w:ascii="Cambria" w:eastAsia="Times New Roman" w:hAnsi="Cambria" w:cs="Times New Roman"/>
      <w:color w:val="243F60"/>
    </w:rPr>
  </w:style>
  <w:style w:type="character" w:customStyle="1" w:styleId="Heading6Char">
    <w:name w:val="Heading 6 Char"/>
    <w:link w:val="Heading6"/>
    <w:uiPriority w:val="9"/>
    <w:rPr>
      <w:rFonts w:ascii="Arial" w:eastAsia="Times New Roman" w:hAnsi="Arial"/>
      <w:iCs/>
      <w:sz w:val="22"/>
      <w:szCs w:val="22"/>
      <w:lang w:eastAsia="en-US"/>
    </w:rPr>
  </w:style>
  <w:style w:type="character" w:customStyle="1" w:styleId="Heading2Char1">
    <w:name w:val="Heading 2 Char1"/>
    <w:link w:val="Heading2"/>
    <w:uiPriority w:val="9"/>
    <w:rPr>
      <w:rFonts w:ascii="Arial" w:eastAsia="Times New Roman" w:hAnsi="Arial"/>
      <w:b/>
      <w:bCs/>
      <w:sz w:val="22"/>
      <w:szCs w:val="26"/>
      <w:lang w:eastAsia="en-US"/>
    </w:rPr>
  </w:style>
  <w:style w:type="numbering" w:customStyle="1" w:styleId="StyleNormativeDoc">
    <w:name w:val="Style Normative Doc"/>
    <w:uiPriority w:val="99"/>
    <w:pPr>
      <w:numPr>
        <w:numId w:val="1"/>
      </w:numPr>
    </w:pPr>
  </w:style>
  <w:style w:type="character" w:customStyle="1" w:styleId="Heading3Char1">
    <w:name w:val="Heading 3 Char1"/>
    <w:link w:val="Heading3"/>
    <w:uiPriority w:val="9"/>
    <w:rPr>
      <w:rFonts w:ascii="Arial" w:eastAsia="Times New Roman" w:hAnsi="Arial"/>
      <w:bCs/>
      <w:sz w:val="22"/>
      <w:szCs w:val="22"/>
      <w:lang w:eastAsia="en-US"/>
    </w:rPr>
  </w:style>
  <w:style w:type="character" w:customStyle="1" w:styleId="Heading4Char1">
    <w:name w:val="Heading 4 Char1"/>
    <w:link w:val="Heading4"/>
    <w:uiPriority w:val="9"/>
    <w:rPr>
      <w:rFonts w:ascii="Arial" w:eastAsia="Times New Roman" w:hAnsi="Arial"/>
      <w:bCs/>
      <w:iCs/>
      <w:sz w:val="22"/>
      <w:szCs w:val="22"/>
      <w:lang w:eastAsia="en-US"/>
    </w:rPr>
  </w:style>
  <w:style w:type="character" w:customStyle="1" w:styleId="Heading5Char1">
    <w:name w:val="Heading 5 Char1"/>
    <w:link w:val="Heading5"/>
    <w:uiPriority w:val="9"/>
    <w:rPr>
      <w:rFonts w:ascii="Arial" w:eastAsia="Times New Roman" w:hAnsi="Arial"/>
      <w:sz w:val="22"/>
      <w:szCs w:val="22"/>
      <w:lang w:eastAsia="en-US"/>
    </w:rPr>
  </w:style>
  <w:style w:type="paragraph" w:styleId="Title">
    <w:name w:val="Title"/>
    <w:basedOn w:val="Normal"/>
    <w:next w:val="Normal"/>
    <w:link w:val="TitleChar"/>
    <w:uiPriority w:val="10"/>
    <w:qFormat/>
    <w:pPr>
      <w:spacing w:before="240" w:after="240"/>
      <w:contextualSpacing/>
      <w:jc w:val="center"/>
    </w:pPr>
    <w:rPr>
      <w:rFonts w:eastAsia="Times New Roman"/>
      <w:b/>
      <w:spacing w:val="5"/>
      <w:kern w:val="28"/>
      <w:sz w:val="40"/>
      <w:szCs w:val="52"/>
    </w:rPr>
  </w:style>
  <w:style w:type="character" w:customStyle="1" w:styleId="TitleChar">
    <w:name w:val="Title Char"/>
    <w:link w:val="Title"/>
    <w:uiPriority w:val="10"/>
    <w:rPr>
      <w:rFonts w:ascii="Tahoma" w:eastAsia="Times New Roman" w:hAnsi="Tahoma" w:cs="Times New Roman"/>
      <w:b/>
      <w:spacing w:val="5"/>
      <w:kern w:val="28"/>
      <w:sz w:val="40"/>
      <w:szCs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pPr>
      <w:spacing w:before="0" w:after="0"/>
    </w:pPr>
    <w:rPr>
      <w:rFonts w:cs="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Calibri" w:hAnsi="Times New Roman" w:cs="Times New Roman"/>
      <w:b/>
      <w:bCs/>
      <w:sz w:val="20"/>
      <w:szCs w:val="20"/>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536"/>
        <w:tab w:val="right" w:pos="9072"/>
      </w:tabs>
      <w:spacing w:before="60" w:after="60"/>
    </w:pPr>
  </w:style>
  <w:style w:type="character" w:customStyle="1" w:styleId="FooterChar">
    <w:name w:val="Footer Char"/>
    <w:link w:val="Footer"/>
    <w:uiPriority w:val="99"/>
    <w:rPr>
      <w:rFonts w:ascii="Arial" w:eastAsia="Calibri" w:hAnsi="Arial" w:cs="Times New Roman"/>
    </w:rPr>
  </w:style>
  <w:style w:type="paragraph" w:styleId="Header">
    <w:name w:val="header"/>
    <w:basedOn w:val="Normal"/>
    <w:link w:val="HeaderChar"/>
    <w:uiPriority w:val="99"/>
    <w:unhideWhenUsed/>
    <w:pPr>
      <w:tabs>
        <w:tab w:val="center" w:pos="4536"/>
        <w:tab w:val="right" w:pos="9072"/>
      </w:tabs>
      <w:spacing w:before="60" w:after="60"/>
    </w:pPr>
  </w:style>
  <w:style w:type="character" w:customStyle="1" w:styleId="HeaderChar">
    <w:name w:val="Header Char"/>
    <w:link w:val="Header"/>
    <w:uiPriority w:val="99"/>
    <w:rPr>
      <w:rFonts w:ascii="Arial" w:eastAsia="Calibri" w:hAnsi="Arial" w:cs="Times New Roman"/>
    </w:rPr>
  </w:style>
  <w:style w:type="character" w:customStyle="1" w:styleId="Heading7Char">
    <w:name w:val="Heading 7 Char"/>
    <w:uiPriority w:val="9"/>
    <w:semiHidden/>
    <w:rPr>
      <w:rFonts w:ascii="Cambria" w:eastAsia="Times New Roman" w:hAnsi="Cambria" w:cs="Times New Roman"/>
      <w:i/>
      <w:iCs/>
      <w:color w:val="404040"/>
    </w:rPr>
  </w:style>
  <w:style w:type="character" w:customStyle="1" w:styleId="Heading7Char1">
    <w:name w:val="Heading 7 Char1"/>
    <w:uiPriority w:val="9"/>
    <w:semiHidden/>
    <w:rPr>
      <w:rFonts w:ascii="Cambria" w:eastAsia="Times New Roman" w:hAnsi="Cambria" w:cs="Times New Roman"/>
      <w:i/>
      <w:iCs/>
      <w:color w:val="404040"/>
    </w:rPr>
  </w:style>
  <w:style w:type="character" w:customStyle="1" w:styleId="Heading8Char">
    <w:name w:val="Heading 8 Char"/>
    <w:uiPriority w:val="9"/>
    <w:semiHidden/>
    <w:rPr>
      <w:rFonts w:ascii="Cambria" w:eastAsia="Times New Roman" w:hAnsi="Cambria" w:cs="Times New Roman"/>
      <w:color w:val="404040"/>
      <w:sz w:val="20"/>
      <w:szCs w:val="20"/>
    </w:rPr>
  </w:style>
  <w:style w:type="character" w:customStyle="1" w:styleId="Heading8Char1">
    <w:name w:val="Heading 8 Char1"/>
    <w:uiPriority w:val="9"/>
    <w:semiHidden/>
    <w:rPr>
      <w:rFonts w:ascii="Cambria" w:eastAsia="Times New Roman" w:hAnsi="Cambria" w:cs="Times New Roman"/>
      <w:color w:val="404040"/>
      <w:sz w:val="20"/>
      <w:szCs w:val="20"/>
    </w:rPr>
  </w:style>
  <w:style w:type="character" w:customStyle="1" w:styleId="Heading9Char">
    <w:name w:val="Heading 9 Char"/>
    <w:uiPriority w:val="9"/>
    <w:semiHidden/>
    <w:rPr>
      <w:rFonts w:ascii="Cambria" w:eastAsia="Times New Roman" w:hAnsi="Cambria" w:cs="Times New Roman"/>
      <w:i/>
      <w:iCs/>
      <w:color w:val="404040"/>
      <w:sz w:val="20"/>
      <w:szCs w:val="20"/>
    </w:rPr>
  </w:style>
  <w:style w:type="character" w:customStyle="1" w:styleId="Heading9Char1">
    <w:name w:val="Heading 9 Char1"/>
    <w:uiPriority w:val="9"/>
    <w:semiHidden/>
    <w:rPr>
      <w:rFonts w:ascii="Cambria" w:eastAsia="Times New Roman" w:hAnsi="Cambria" w:cs="Times New Roman"/>
      <w:i/>
      <w:iCs/>
      <w:color w:val="404040"/>
      <w:sz w:val="20"/>
      <w:szCs w:val="20"/>
    </w:rPr>
  </w:style>
  <w:style w:type="character" w:styleId="Hyperlink">
    <w:name w:val="Hyperlink"/>
    <w:uiPriority w:val="99"/>
    <w:unhideWhenUsed/>
    <w:rPr>
      <w:color w:val="0000FF"/>
      <w:u w:val="single"/>
    </w:rPr>
  </w:style>
  <w:style w:type="character" w:styleId="IntenseEmphasis">
    <w:name w:val="Intense Emphasis"/>
    <w:uiPriority w:val="21"/>
    <w:qFormat/>
    <w:rPr>
      <w:b/>
      <w:bCs/>
      <w:i/>
      <w:iCs/>
      <w:color w:val="4F81BD"/>
    </w:rPr>
  </w:style>
  <w:style w:type="paragraph" w:styleId="NoSpacing">
    <w:name w:val="No Spacing"/>
    <w:link w:val="NoSpacingChar"/>
    <w:uiPriority w:val="1"/>
    <w:qFormat/>
    <w:rPr>
      <w:rFonts w:ascii="Arial" w:eastAsia="Times New Roman" w:hAnsi="Arial"/>
      <w:sz w:val="22"/>
      <w:szCs w:val="22"/>
      <w:lang w:val="en-US"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Calibri" w:hAnsi="Times New Roman" w:cs="Times New Roman"/>
      <w:i/>
      <w:iCs/>
      <w:color w:val="000000"/>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ubtleEmphasis">
    <w:name w:val="Subtle Emphasis"/>
    <w:uiPriority w:val="19"/>
    <w:qFormat/>
    <w:rPr>
      <w:i/>
      <w:iCs/>
      <w:color w:val="808080"/>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tabs>
        <w:tab w:val="right" w:leader="dot" w:pos="9344"/>
      </w:tabs>
      <w:spacing w:after="100"/>
      <w:ind w:left="220"/>
    </w:pPr>
  </w:style>
  <w:style w:type="paragraph" w:styleId="TOC3">
    <w:name w:val="toc 3"/>
    <w:basedOn w:val="Normal"/>
    <w:next w:val="Normal"/>
    <w:autoRedefine/>
    <w:uiPriority w:val="39"/>
    <w:unhideWhenUsed/>
    <w:qFormat/>
    <w:pPr>
      <w:spacing w:after="100"/>
      <w:ind w:left="440"/>
    </w:pPr>
  </w:style>
  <w:style w:type="paragraph" w:styleId="TOCHeading">
    <w:name w:val="TOC Heading"/>
    <w:basedOn w:val="Heading1"/>
    <w:next w:val="Normal"/>
    <w:uiPriority w:val="3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35"/>
    <w:qFormat/>
    <w:pPr>
      <w:tabs>
        <w:tab w:val="left" w:pos="1985"/>
      </w:tabs>
      <w:spacing w:before="60" w:after="60"/>
      <w:ind w:left="1985" w:hanging="1985"/>
    </w:pPr>
    <w:rPr>
      <w:bCs/>
      <w:szCs w:val="18"/>
    </w:rPr>
  </w:style>
  <w:style w:type="paragraph" w:styleId="TableofFigures">
    <w:name w:val="table of figures"/>
    <w:basedOn w:val="Normal"/>
    <w:next w:val="Normal"/>
    <w:uiPriority w:val="99"/>
    <w:unhideWhenUsed/>
    <w:pPr>
      <w:spacing w:after="0"/>
    </w:pPr>
  </w:style>
  <w:style w:type="numbering" w:customStyle="1" w:styleId="Style1">
    <w:name w:val="Style1"/>
    <w:uiPriority w:val="99"/>
    <w:pPr>
      <w:numPr>
        <w:numId w:val="3"/>
      </w:numPr>
    </w:pPr>
  </w:style>
  <w:style w:type="numbering" w:customStyle="1" w:styleId="Style2">
    <w:name w:val="Style2"/>
    <w:uiPriority w:val="99"/>
    <w:pPr>
      <w:numPr>
        <w:numId w:val="4"/>
      </w:numPr>
    </w:pPr>
  </w:style>
  <w:style w:type="numbering" w:customStyle="1" w:styleId="Style3">
    <w:name w:val="Style3"/>
    <w:uiPriority w:val="99"/>
    <w:pPr>
      <w:numPr>
        <w:numId w:val="5"/>
      </w:numPr>
    </w:pPr>
  </w:style>
  <w:style w:type="numbering" w:customStyle="1" w:styleId="Style4">
    <w:name w:val="Style4"/>
    <w:uiPriority w:val="99"/>
    <w:pPr>
      <w:numPr>
        <w:numId w:val="6"/>
      </w:numPr>
    </w:pPr>
  </w:style>
  <w:style w:type="numbering" w:customStyle="1" w:styleId="Style5">
    <w:name w:val="Style5"/>
    <w:uiPriority w:val="99"/>
    <w:pPr>
      <w:numPr>
        <w:numId w:val="7"/>
      </w:numPr>
    </w:pPr>
  </w:style>
  <w:style w:type="character" w:customStyle="1" w:styleId="Heading7Char2">
    <w:name w:val="Heading 7 Char2"/>
    <w:link w:val="Heading7"/>
    <w:uiPriority w:val="9"/>
    <w:rPr>
      <w:rFonts w:ascii="Times New Roman" w:eastAsia="Times New Roman" w:hAnsi="Times New Roman" w:cs="Times New Roman"/>
      <w:iCs/>
      <w:color w:val="0D0D0D"/>
      <w:sz w:val="20"/>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rPr>
      <w:rFonts w:ascii="Arial" w:eastAsia="Times New Roman" w:hAnsi="Arial" w:cs="Times New Roman"/>
      <w:sz w:val="22"/>
      <w:szCs w:val="22"/>
      <w:lang w:val="en-US" w:eastAsia="en-US" w:bidi="ar-SA"/>
    </w:rPr>
  </w:style>
  <w:style w:type="paragraph" w:customStyle="1" w:styleId="firstline">
    <w:name w:val="firstline"/>
    <w:basedOn w:val="Normal"/>
    <w:pPr>
      <w:spacing w:before="100" w:beforeAutospacing="1" w:after="100" w:afterAutospacing="1" w:line="240" w:lineRule="auto"/>
      <w:jc w:val="left"/>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pPr>
      <w:keepNext/>
      <w:keepLines/>
      <w:numPr>
        <w:numId w:val="2"/>
      </w:numPr>
      <w:spacing w:before="480" w:after="240"/>
      <w:jc w:val="center"/>
      <w:outlineLvl w:val="0"/>
    </w:pPr>
    <w:rPr>
      <w:rFonts w:eastAsia="Times New Roman"/>
      <w:b/>
      <w:bCs/>
      <w:smallCaps/>
      <w:spacing w:val="20"/>
      <w:sz w:val="24"/>
      <w:szCs w:val="24"/>
    </w:rPr>
  </w:style>
  <w:style w:type="paragraph" w:styleId="Heading2">
    <w:name w:val="heading 2"/>
    <w:basedOn w:val="Normal"/>
    <w:next w:val="Normal"/>
    <w:link w:val="Heading2Char1"/>
    <w:autoRedefine/>
    <w:uiPriority w:val="9"/>
    <w:qFormat/>
    <w:pPr>
      <w:keepNext/>
      <w:keepLines/>
      <w:numPr>
        <w:ilvl w:val="1"/>
        <w:numId w:val="10"/>
      </w:numPr>
      <w:spacing w:before="240"/>
      <w:jc w:val="center"/>
      <w:outlineLvl w:val="1"/>
    </w:pPr>
    <w:rPr>
      <w:rFonts w:eastAsia="Times New Roman"/>
      <w:b/>
      <w:bCs/>
      <w:szCs w:val="26"/>
    </w:rPr>
  </w:style>
  <w:style w:type="paragraph" w:styleId="Heading3">
    <w:name w:val="heading 3"/>
    <w:basedOn w:val="Normal"/>
    <w:next w:val="Normal"/>
    <w:link w:val="Heading3Char1"/>
    <w:autoRedefine/>
    <w:uiPriority w:val="9"/>
    <w:qFormat/>
    <w:pPr>
      <w:numPr>
        <w:ilvl w:val="2"/>
        <w:numId w:val="10"/>
      </w:numPr>
      <w:tabs>
        <w:tab w:val="left" w:pos="851"/>
      </w:tabs>
      <w:ind w:left="0"/>
      <w:outlineLvl w:val="2"/>
    </w:pPr>
    <w:rPr>
      <w:rFonts w:eastAsia="Times New Roman"/>
      <w:bCs/>
    </w:rPr>
  </w:style>
  <w:style w:type="paragraph" w:styleId="Heading4">
    <w:name w:val="heading 4"/>
    <w:basedOn w:val="Normal"/>
    <w:next w:val="Normal"/>
    <w:link w:val="Heading4Char1"/>
    <w:uiPriority w:val="9"/>
    <w:qFormat/>
    <w:pPr>
      <w:keepLines/>
      <w:numPr>
        <w:ilvl w:val="3"/>
        <w:numId w:val="10"/>
      </w:numPr>
      <w:outlineLvl w:val="3"/>
    </w:pPr>
    <w:rPr>
      <w:rFonts w:eastAsia="Times New Roman"/>
      <w:bCs/>
      <w:iCs/>
    </w:rPr>
  </w:style>
  <w:style w:type="paragraph" w:styleId="Heading5">
    <w:name w:val="heading 5"/>
    <w:basedOn w:val="Normal"/>
    <w:next w:val="Normal"/>
    <w:link w:val="Heading5Char1"/>
    <w:uiPriority w:val="9"/>
    <w:qFormat/>
    <w:pPr>
      <w:keepLines/>
      <w:numPr>
        <w:ilvl w:val="4"/>
        <w:numId w:val="10"/>
      </w:numPr>
      <w:spacing w:before="60" w:after="60"/>
      <w:outlineLvl w:val="4"/>
    </w:pPr>
    <w:rPr>
      <w:rFonts w:eastAsia="Times New Roman"/>
    </w:rPr>
  </w:style>
  <w:style w:type="paragraph" w:styleId="Heading6">
    <w:name w:val="heading 6"/>
    <w:basedOn w:val="Normal"/>
    <w:next w:val="Normal"/>
    <w:link w:val="Heading6Char"/>
    <w:uiPriority w:val="9"/>
    <w:qFormat/>
    <w:pPr>
      <w:keepLines/>
      <w:numPr>
        <w:ilvl w:val="5"/>
        <w:numId w:val="10"/>
      </w:numPr>
      <w:outlineLvl w:val="5"/>
    </w:pPr>
    <w:rPr>
      <w:rFonts w:eastAsia="Times New Roman"/>
      <w:iCs/>
    </w:rPr>
  </w:style>
  <w:style w:type="paragraph" w:styleId="Heading7">
    <w:name w:val="heading 7"/>
    <w:basedOn w:val="Normal"/>
    <w:next w:val="Normal"/>
    <w:link w:val="Heading7Char2"/>
    <w:uiPriority w:val="9"/>
    <w:qFormat/>
    <w:pPr>
      <w:keepNext/>
      <w:keepLines/>
      <w:spacing w:before="200" w:after="0"/>
      <w:outlineLvl w:val="6"/>
    </w:pPr>
    <w:rPr>
      <w:rFonts w:eastAsia="Times New Roman"/>
      <w:iCs/>
      <w:color w:val="0D0D0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b/>
      <w:bCs/>
      <w:smallCaps/>
      <w:spacing w:val="20"/>
      <w:sz w:val="24"/>
      <w:szCs w:val="24"/>
      <w:lang w:eastAsia="en-US"/>
    </w:rPr>
  </w:style>
  <w:style w:type="character" w:customStyle="1" w:styleId="Heading2Char">
    <w:name w:val="Heading 2 Char"/>
    <w:uiPriority w:val="9"/>
    <w:semiHidden/>
    <w:rPr>
      <w:rFonts w:ascii="Cambria" w:eastAsia="Times New Roman" w:hAnsi="Cambria" w:cs="Times New Roman"/>
      <w:b/>
      <w:bCs/>
      <w:color w:val="4F81BD"/>
      <w:sz w:val="26"/>
      <w:szCs w:val="26"/>
    </w:rPr>
  </w:style>
  <w:style w:type="character" w:customStyle="1" w:styleId="Heading3Char">
    <w:name w:val="Heading 3 Char"/>
    <w:uiPriority w:val="9"/>
    <w:semiHidden/>
    <w:rPr>
      <w:rFonts w:ascii="Cambria" w:eastAsia="Times New Roman" w:hAnsi="Cambria" w:cs="Times New Roman"/>
      <w:b/>
      <w:bCs/>
      <w:color w:val="4F81BD"/>
    </w:rPr>
  </w:style>
  <w:style w:type="character" w:customStyle="1" w:styleId="Heading4Char">
    <w:name w:val="Heading 4 Char"/>
    <w:uiPriority w:val="9"/>
    <w:semiHidden/>
    <w:rPr>
      <w:rFonts w:ascii="Cambria" w:eastAsia="Times New Roman" w:hAnsi="Cambria" w:cs="Times New Roman"/>
      <w:b/>
      <w:bCs/>
      <w:i/>
      <w:iCs/>
      <w:color w:val="4F81BD"/>
    </w:rPr>
  </w:style>
  <w:style w:type="character" w:customStyle="1" w:styleId="Heading5Char">
    <w:name w:val="Heading 5 Char"/>
    <w:uiPriority w:val="9"/>
    <w:semiHidden/>
    <w:rPr>
      <w:rFonts w:ascii="Cambria" w:eastAsia="Times New Roman" w:hAnsi="Cambria" w:cs="Times New Roman"/>
      <w:color w:val="243F60"/>
    </w:rPr>
  </w:style>
  <w:style w:type="character" w:customStyle="1" w:styleId="Heading6Char">
    <w:name w:val="Heading 6 Char"/>
    <w:link w:val="Heading6"/>
    <w:uiPriority w:val="9"/>
    <w:rPr>
      <w:rFonts w:ascii="Arial" w:eastAsia="Times New Roman" w:hAnsi="Arial"/>
      <w:iCs/>
      <w:sz w:val="22"/>
      <w:szCs w:val="22"/>
      <w:lang w:eastAsia="en-US"/>
    </w:rPr>
  </w:style>
  <w:style w:type="character" w:customStyle="1" w:styleId="Heading2Char1">
    <w:name w:val="Heading 2 Char1"/>
    <w:link w:val="Heading2"/>
    <w:uiPriority w:val="9"/>
    <w:rPr>
      <w:rFonts w:ascii="Arial" w:eastAsia="Times New Roman" w:hAnsi="Arial"/>
      <w:b/>
      <w:bCs/>
      <w:sz w:val="22"/>
      <w:szCs w:val="26"/>
      <w:lang w:eastAsia="en-US"/>
    </w:rPr>
  </w:style>
  <w:style w:type="numbering" w:customStyle="1" w:styleId="StyleNormativeDoc">
    <w:name w:val="Style Normative Doc"/>
    <w:uiPriority w:val="99"/>
    <w:pPr>
      <w:numPr>
        <w:numId w:val="1"/>
      </w:numPr>
    </w:pPr>
  </w:style>
  <w:style w:type="character" w:customStyle="1" w:styleId="Heading3Char1">
    <w:name w:val="Heading 3 Char1"/>
    <w:link w:val="Heading3"/>
    <w:uiPriority w:val="9"/>
    <w:rPr>
      <w:rFonts w:ascii="Arial" w:eastAsia="Times New Roman" w:hAnsi="Arial"/>
      <w:bCs/>
      <w:sz w:val="22"/>
      <w:szCs w:val="22"/>
      <w:lang w:eastAsia="en-US"/>
    </w:rPr>
  </w:style>
  <w:style w:type="character" w:customStyle="1" w:styleId="Heading4Char1">
    <w:name w:val="Heading 4 Char1"/>
    <w:link w:val="Heading4"/>
    <w:uiPriority w:val="9"/>
    <w:rPr>
      <w:rFonts w:ascii="Arial" w:eastAsia="Times New Roman" w:hAnsi="Arial"/>
      <w:bCs/>
      <w:iCs/>
      <w:sz w:val="22"/>
      <w:szCs w:val="22"/>
      <w:lang w:eastAsia="en-US"/>
    </w:rPr>
  </w:style>
  <w:style w:type="character" w:customStyle="1" w:styleId="Heading5Char1">
    <w:name w:val="Heading 5 Char1"/>
    <w:link w:val="Heading5"/>
    <w:uiPriority w:val="9"/>
    <w:rPr>
      <w:rFonts w:ascii="Arial" w:eastAsia="Times New Roman" w:hAnsi="Arial"/>
      <w:sz w:val="22"/>
      <w:szCs w:val="22"/>
      <w:lang w:eastAsia="en-US"/>
    </w:rPr>
  </w:style>
  <w:style w:type="paragraph" w:styleId="Title">
    <w:name w:val="Title"/>
    <w:basedOn w:val="Normal"/>
    <w:next w:val="Normal"/>
    <w:link w:val="TitleChar"/>
    <w:uiPriority w:val="10"/>
    <w:qFormat/>
    <w:pPr>
      <w:spacing w:before="240" w:after="240"/>
      <w:contextualSpacing/>
      <w:jc w:val="center"/>
    </w:pPr>
    <w:rPr>
      <w:rFonts w:eastAsia="Times New Roman"/>
      <w:b/>
      <w:spacing w:val="5"/>
      <w:kern w:val="28"/>
      <w:sz w:val="40"/>
      <w:szCs w:val="52"/>
    </w:rPr>
  </w:style>
  <w:style w:type="character" w:customStyle="1" w:styleId="TitleChar">
    <w:name w:val="Title Char"/>
    <w:link w:val="Title"/>
    <w:uiPriority w:val="10"/>
    <w:rPr>
      <w:rFonts w:ascii="Tahoma" w:eastAsia="Times New Roman" w:hAnsi="Tahoma" w:cs="Times New Roman"/>
      <w:b/>
      <w:spacing w:val="5"/>
      <w:kern w:val="28"/>
      <w:sz w:val="40"/>
      <w:szCs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pPr>
      <w:spacing w:before="0" w:after="0"/>
    </w:pPr>
    <w:rPr>
      <w:rFonts w:cs="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Calibri" w:hAnsi="Times New Roman" w:cs="Times New Roman"/>
      <w:b/>
      <w:bCs/>
      <w:sz w:val="20"/>
      <w:szCs w:val="20"/>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536"/>
        <w:tab w:val="right" w:pos="9072"/>
      </w:tabs>
      <w:spacing w:before="60" w:after="60"/>
    </w:pPr>
  </w:style>
  <w:style w:type="character" w:customStyle="1" w:styleId="FooterChar">
    <w:name w:val="Footer Char"/>
    <w:link w:val="Footer"/>
    <w:uiPriority w:val="99"/>
    <w:rPr>
      <w:rFonts w:ascii="Arial" w:eastAsia="Calibri" w:hAnsi="Arial" w:cs="Times New Roman"/>
    </w:rPr>
  </w:style>
  <w:style w:type="paragraph" w:styleId="Header">
    <w:name w:val="header"/>
    <w:basedOn w:val="Normal"/>
    <w:link w:val="HeaderChar"/>
    <w:uiPriority w:val="99"/>
    <w:unhideWhenUsed/>
    <w:pPr>
      <w:tabs>
        <w:tab w:val="center" w:pos="4536"/>
        <w:tab w:val="right" w:pos="9072"/>
      </w:tabs>
      <w:spacing w:before="60" w:after="60"/>
    </w:pPr>
  </w:style>
  <w:style w:type="character" w:customStyle="1" w:styleId="HeaderChar">
    <w:name w:val="Header Char"/>
    <w:link w:val="Header"/>
    <w:uiPriority w:val="99"/>
    <w:rPr>
      <w:rFonts w:ascii="Arial" w:eastAsia="Calibri" w:hAnsi="Arial" w:cs="Times New Roman"/>
    </w:rPr>
  </w:style>
  <w:style w:type="character" w:customStyle="1" w:styleId="Heading7Char">
    <w:name w:val="Heading 7 Char"/>
    <w:uiPriority w:val="9"/>
    <w:semiHidden/>
    <w:rPr>
      <w:rFonts w:ascii="Cambria" w:eastAsia="Times New Roman" w:hAnsi="Cambria" w:cs="Times New Roman"/>
      <w:i/>
      <w:iCs/>
      <w:color w:val="404040"/>
    </w:rPr>
  </w:style>
  <w:style w:type="character" w:customStyle="1" w:styleId="Heading7Char1">
    <w:name w:val="Heading 7 Char1"/>
    <w:uiPriority w:val="9"/>
    <w:semiHidden/>
    <w:rPr>
      <w:rFonts w:ascii="Cambria" w:eastAsia="Times New Roman" w:hAnsi="Cambria" w:cs="Times New Roman"/>
      <w:i/>
      <w:iCs/>
      <w:color w:val="404040"/>
    </w:rPr>
  </w:style>
  <w:style w:type="character" w:customStyle="1" w:styleId="Heading8Char">
    <w:name w:val="Heading 8 Char"/>
    <w:uiPriority w:val="9"/>
    <w:semiHidden/>
    <w:rPr>
      <w:rFonts w:ascii="Cambria" w:eastAsia="Times New Roman" w:hAnsi="Cambria" w:cs="Times New Roman"/>
      <w:color w:val="404040"/>
      <w:sz w:val="20"/>
      <w:szCs w:val="20"/>
    </w:rPr>
  </w:style>
  <w:style w:type="character" w:customStyle="1" w:styleId="Heading8Char1">
    <w:name w:val="Heading 8 Char1"/>
    <w:uiPriority w:val="9"/>
    <w:semiHidden/>
    <w:rPr>
      <w:rFonts w:ascii="Cambria" w:eastAsia="Times New Roman" w:hAnsi="Cambria" w:cs="Times New Roman"/>
      <w:color w:val="404040"/>
      <w:sz w:val="20"/>
      <w:szCs w:val="20"/>
    </w:rPr>
  </w:style>
  <w:style w:type="character" w:customStyle="1" w:styleId="Heading9Char">
    <w:name w:val="Heading 9 Char"/>
    <w:uiPriority w:val="9"/>
    <w:semiHidden/>
    <w:rPr>
      <w:rFonts w:ascii="Cambria" w:eastAsia="Times New Roman" w:hAnsi="Cambria" w:cs="Times New Roman"/>
      <w:i/>
      <w:iCs/>
      <w:color w:val="404040"/>
      <w:sz w:val="20"/>
      <w:szCs w:val="20"/>
    </w:rPr>
  </w:style>
  <w:style w:type="character" w:customStyle="1" w:styleId="Heading9Char1">
    <w:name w:val="Heading 9 Char1"/>
    <w:uiPriority w:val="9"/>
    <w:semiHidden/>
    <w:rPr>
      <w:rFonts w:ascii="Cambria" w:eastAsia="Times New Roman" w:hAnsi="Cambria" w:cs="Times New Roman"/>
      <w:i/>
      <w:iCs/>
      <w:color w:val="404040"/>
      <w:sz w:val="20"/>
      <w:szCs w:val="20"/>
    </w:rPr>
  </w:style>
  <w:style w:type="character" w:styleId="Hyperlink">
    <w:name w:val="Hyperlink"/>
    <w:uiPriority w:val="99"/>
    <w:unhideWhenUsed/>
    <w:rPr>
      <w:color w:val="0000FF"/>
      <w:u w:val="single"/>
    </w:rPr>
  </w:style>
  <w:style w:type="character" w:styleId="IntenseEmphasis">
    <w:name w:val="Intense Emphasis"/>
    <w:uiPriority w:val="21"/>
    <w:qFormat/>
    <w:rPr>
      <w:b/>
      <w:bCs/>
      <w:i/>
      <w:iCs/>
      <w:color w:val="4F81BD"/>
    </w:rPr>
  </w:style>
  <w:style w:type="paragraph" w:styleId="NoSpacing">
    <w:name w:val="No Spacing"/>
    <w:link w:val="NoSpacingChar"/>
    <w:uiPriority w:val="1"/>
    <w:qFormat/>
    <w:rPr>
      <w:rFonts w:ascii="Arial" w:eastAsia="Times New Roman" w:hAnsi="Arial"/>
      <w:sz w:val="22"/>
      <w:szCs w:val="22"/>
      <w:lang w:val="en-US"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Calibri" w:hAnsi="Times New Roman" w:cs="Times New Roman"/>
      <w:i/>
      <w:iCs/>
      <w:color w:val="000000"/>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ubtleEmphasis">
    <w:name w:val="Subtle Emphasis"/>
    <w:uiPriority w:val="19"/>
    <w:qFormat/>
    <w:rPr>
      <w:i/>
      <w:iCs/>
      <w:color w:val="808080"/>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tabs>
        <w:tab w:val="right" w:leader="dot" w:pos="9344"/>
      </w:tabs>
      <w:spacing w:after="100"/>
      <w:ind w:left="220"/>
    </w:pPr>
  </w:style>
  <w:style w:type="paragraph" w:styleId="TOC3">
    <w:name w:val="toc 3"/>
    <w:basedOn w:val="Normal"/>
    <w:next w:val="Normal"/>
    <w:autoRedefine/>
    <w:uiPriority w:val="39"/>
    <w:unhideWhenUsed/>
    <w:qFormat/>
    <w:pPr>
      <w:spacing w:after="100"/>
      <w:ind w:left="440"/>
    </w:pPr>
  </w:style>
  <w:style w:type="paragraph" w:styleId="TOCHeading">
    <w:name w:val="TOC Heading"/>
    <w:basedOn w:val="Heading1"/>
    <w:next w:val="Normal"/>
    <w:uiPriority w:val="3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35"/>
    <w:qFormat/>
    <w:pPr>
      <w:tabs>
        <w:tab w:val="left" w:pos="1985"/>
      </w:tabs>
      <w:spacing w:before="60" w:after="60"/>
      <w:ind w:left="1985" w:hanging="1985"/>
    </w:pPr>
    <w:rPr>
      <w:bCs/>
      <w:szCs w:val="18"/>
    </w:rPr>
  </w:style>
  <w:style w:type="paragraph" w:styleId="TableofFigures">
    <w:name w:val="table of figures"/>
    <w:basedOn w:val="Normal"/>
    <w:next w:val="Normal"/>
    <w:uiPriority w:val="99"/>
    <w:unhideWhenUsed/>
    <w:pPr>
      <w:spacing w:after="0"/>
    </w:pPr>
  </w:style>
  <w:style w:type="numbering" w:customStyle="1" w:styleId="Style1">
    <w:name w:val="Style1"/>
    <w:uiPriority w:val="99"/>
    <w:pPr>
      <w:numPr>
        <w:numId w:val="3"/>
      </w:numPr>
    </w:pPr>
  </w:style>
  <w:style w:type="numbering" w:customStyle="1" w:styleId="Style2">
    <w:name w:val="Style2"/>
    <w:uiPriority w:val="99"/>
    <w:pPr>
      <w:numPr>
        <w:numId w:val="4"/>
      </w:numPr>
    </w:pPr>
  </w:style>
  <w:style w:type="numbering" w:customStyle="1" w:styleId="Style3">
    <w:name w:val="Style3"/>
    <w:uiPriority w:val="99"/>
    <w:pPr>
      <w:numPr>
        <w:numId w:val="5"/>
      </w:numPr>
    </w:pPr>
  </w:style>
  <w:style w:type="numbering" w:customStyle="1" w:styleId="Style4">
    <w:name w:val="Style4"/>
    <w:uiPriority w:val="99"/>
    <w:pPr>
      <w:numPr>
        <w:numId w:val="6"/>
      </w:numPr>
    </w:pPr>
  </w:style>
  <w:style w:type="numbering" w:customStyle="1" w:styleId="Style5">
    <w:name w:val="Style5"/>
    <w:uiPriority w:val="99"/>
    <w:pPr>
      <w:numPr>
        <w:numId w:val="7"/>
      </w:numPr>
    </w:pPr>
  </w:style>
  <w:style w:type="character" w:customStyle="1" w:styleId="Heading7Char2">
    <w:name w:val="Heading 7 Char2"/>
    <w:link w:val="Heading7"/>
    <w:uiPriority w:val="9"/>
    <w:rPr>
      <w:rFonts w:ascii="Times New Roman" w:eastAsia="Times New Roman" w:hAnsi="Times New Roman" w:cs="Times New Roman"/>
      <w:iCs/>
      <w:color w:val="0D0D0D"/>
      <w:sz w:val="20"/>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rPr>
      <w:rFonts w:ascii="Arial" w:eastAsia="Times New Roman" w:hAnsi="Arial" w:cs="Times New Roman"/>
      <w:sz w:val="22"/>
      <w:szCs w:val="22"/>
      <w:lang w:val="en-US" w:eastAsia="en-US" w:bidi="ar-SA"/>
    </w:rPr>
  </w:style>
  <w:style w:type="paragraph" w:customStyle="1" w:styleId="firstline">
    <w:name w:val="firstline"/>
    <w:basedOn w:val="Normal"/>
    <w:pPr>
      <w:spacing w:before="100" w:beforeAutospacing="1" w:after="100" w:afterAutospacing="1" w:line="240" w:lineRule="auto"/>
      <w:jc w:val="left"/>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599">
      <w:bodyDiv w:val="1"/>
      <w:marLeft w:val="0"/>
      <w:marRight w:val="0"/>
      <w:marTop w:val="0"/>
      <w:marBottom w:val="0"/>
      <w:divBdr>
        <w:top w:val="none" w:sz="0" w:space="0" w:color="auto"/>
        <w:left w:val="none" w:sz="0" w:space="0" w:color="auto"/>
        <w:bottom w:val="none" w:sz="0" w:space="0" w:color="auto"/>
        <w:right w:val="none" w:sz="0" w:space="0" w:color="auto"/>
      </w:divBdr>
    </w:div>
    <w:div w:id="1458599059">
      <w:bodyDiv w:val="1"/>
      <w:marLeft w:val="0"/>
      <w:marRight w:val="0"/>
      <w:marTop w:val="0"/>
      <w:marBottom w:val="0"/>
      <w:divBdr>
        <w:top w:val="none" w:sz="0" w:space="0" w:color="auto"/>
        <w:left w:val="none" w:sz="0" w:space="0" w:color="auto"/>
        <w:bottom w:val="none" w:sz="0" w:space="0" w:color="auto"/>
        <w:right w:val="none" w:sz="0" w:space="0" w:color="auto"/>
      </w:divBdr>
    </w:div>
    <w:div w:id="1798984178">
      <w:bodyDiv w:val="1"/>
      <w:marLeft w:val="0"/>
      <w:marRight w:val="0"/>
      <w:marTop w:val="0"/>
      <w:marBottom w:val="0"/>
      <w:divBdr>
        <w:top w:val="none" w:sz="0" w:space="0" w:color="auto"/>
        <w:left w:val="none" w:sz="0" w:space="0" w:color="auto"/>
        <w:bottom w:val="none" w:sz="0" w:space="0" w:color="auto"/>
        <w:right w:val="none" w:sz="0" w:space="0" w:color="auto"/>
      </w:divBdr>
    </w:div>
    <w:div w:id="21160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3FC4-E0AF-4DCF-80E3-65F324C8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Договор за балансиране</vt:lpstr>
    </vt:vector>
  </TitlesOfParts>
  <Manager>Иван Йотов</Manager>
  <Company>„ЕЛЕКТРОЕНЕРГИЕН СИСТЕМЕН ОПЕРАТОР“ ЕАД</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cp:lastModifiedBy>HPopova</cp:lastModifiedBy>
  <cp:revision>61</cp:revision>
  <cp:lastPrinted>2017-05-03T09:07:00Z</cp:lastPrinted>
  <dcterms:created xsi:type="dcterms:W3CDTF">2018-03-27T08:47:00Z</dcterms:created>
  <dcterms:modified xsi:type="dcterms:W3CDTF">2018-11-22T14:39:00Z</dcterms:modified>
  <cp:category>Договори</cp:category>
</cp:coreProperties>
</file>