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spacing w:after="240"/>
        <w:contextualSpacing/>
        <w:outlineLvl w:val="9"/>
        <w:rPr>
          <w:rFonts w:ascii="Tahoma" w:eastAsia="Times New Roman" w:hAnsi="Tahoma" w:cs="Times New Roman"/>
          <w:bCs w:val="0"/>
          <w:spacing w:val="40"/>
          <w:sz w:val="40"/>
          <w:szCs w:val="52"/>
          <w:lang w:eastAsia="bg-BG"/>
        </w:rPr>
      </w:pPr>
      <w:bookmarkStart w:id="0" w:name="_Toc243469582"/>
    </w:p>
    <w:p>
      <w:pPr>
        <w:pStyle w:val="Title"/>
        <w:spacing w:after="240"/>
        <w:contextualSpacing/>
        <w:outlineLvl w:val="9"/>
        <w:rPr>
          <w:rFonts w:ascii="Tahoma" w:eastAsia="Times New Roman" w:hAnsi="Tahoma" w:cs="Times New Roman"/>
          <w:bCs w:val="0"/>
          <w:spacing w:val="40"/>
          <w:sz w:val="40"/>
          <w:szCs w:val="52"/>
          <w:lang w:eastAsia="bg-BG"/>
        </w:rPr>
      </w:pPr>
      <w:r>
        <w:rPr>
          <w:rFonts w:ascii="Tahoma" w:eastAsia="Times New Roman" w:hAnsi="Tahoma" w:cs="Times New Roman"/>
          <w:bCs w:val="0"/>
          <w:spacing w:val="40"/>
          <w:sz w:val="40"/>
          <w:szCs w:val="52"/>
          <w:lang w:eastAsia="bg-BG"/>
        </w:rPr>
        <w:t>Договор за балансиране</w:t>
      </w:r>
    </w:p>
    <w:p>
      <w:pPr>
        <w:spacing w:before="360" w:after="120"/>
        <w:jc w:val="center"/>
        <w:rPr>
          <w:rFonts w:ascii="Arial" w:hAnsi="Arial"/>
        </w:rPr>
      </w:pPr>
      <w:r>
        <w:rPr>
          <w:rFonts w:ascii="Arial" w:hAnsi="Arial"/>
        </w:rPr>
        <w:t>при провеждане на 72 часови проби при експлоатационни условия с потребител/производител</w:t>
      </w:r>
    </w:p>
    <w:p>
      <w:pPr>
        <w:spacing w:before="360" w:after="120"/>
        <w:jc w:val="center"/>
        <w:rPr>
          <w:rFonts w:ascii="Arial" w:hAnsi="Arial"/>
        </w:rPr>
      </w:pPr>
      <w:r>
        <w:rPr>
          <w:rFonts w:ascii="Arial" w:hAnsi="Arial"/>
        </w:rPr>
        <w:t>№ …………</w:t>
      </w:r>
      <w:r>
        <w:rPr>
          <w:rFonts w:ascii="Arial" w:hAnsi="Arial"/>
          <w:lang w:val="en-US"/>
        </w:rPr>
        <w:t>…</w:t>
      </w:r>
      <w:r>
        <w:rPr>
          <w:rFonts w:ascii="Arial" w:hAnsi="Arial"/>
        </w:rPr>
        <w:t xml:space="preserve"> / ……………………</w:t>
      </w:r>
    </w:p>
    <w:p>
      <w:pPr>
        <w:spacing w:before="360" w:after="120"/>
        <w:jc w:val="center"/>
        <w:rPr>
          <w:rFonts w:ascii="Arial" w:hAnsi="Arial"/>
          <w:lang w:val="en-US"/>
        </w:rPr>
      </w:pPr>
    </w:p>
    <w:p>
      <w:pPr>
        <w:spacing w:before="360" w:after="120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>Днес, …………………… в гр. София, между:</w:t>
      </w:r>
    </w:p>
    <w:p>
      <w:pPr>
        <w:spacing w:before="360" w:after="120"/>
        <w:jc w:val="both"/>
        <w:rPr>
          <w:rFonts w:ascii="Arial" w:hAnsi="Arial"/>
          <w:lang w:val="en-US"/>
        </w:rPr>
      </w:pPr>
    </w:p>
    <w:p>
      <w:pPr>
        <w:spacing w:before="240" w:after="120"/>
        <w:jc w:val="both"/>
        <w:rPr>
          <w:rFonts w:ascii="Arial" w:hAnsi="Arial"/>
          <w:lang w:val="en-US"/>
        </w:rPr>
      </w:pPr>
      <w:r>
        <w:rPr>
          <w:rFonts w:ascii="Arial" w:hAnsi="Arial"/>
          <w:b/>
        </w:rPr>
        <w:t>„ЕЛЕКТРОЕНЕРГИЕН СИСТЕМЕН ОПЕРАТОР“ ЕАД</w:t>
      </w:r>
      <w:r>
        <w:rPr>
          <w:rFonts w:ascii="Arial" w:hAnsi="Arial"/>
        </w:rPr>
        <w:t>, регистрирано в Търговския регистър на Агенцията по вписванията, с ЕИК 175201304, със седалище и адрес на управление 1</w:t>
      </w:r>
      <w:r>
        <w:rPr>
          <w:rFonts w:ascii="Arial" w:hAnsi="Arial"/>
          <w:lang w:val="en-US"/>
        </w:rPr>
        <w:t>618</w:t>
      </w:r>
      <w:r>
        <w:rPr>
          <w:rFonts w:ascii="Arial" w:hAnsi="Arial"/>
        </w:rPr>
        <w:t xml:space="preserve">, гр. София, бул. Цар Борис </w:t>
      </w:r>
      <w:r>
        <w:rPr>
          <w:rFonts w:ascii="Arial" w:hAnsi="Arial"/>
          <w:lang w:val="en-US"/>
        </w:rPr>
        <w:t>III</w:t>
      </w:r>
      <w:r>
        <w:rPr>
          <w:rFonts w:ascii="Arial" w:hAnsi="Arial"/>
        </w:rPr>
        <w:t>“ №</w:t>
      </w:r>
      <w:r>
        <w:rPr>
          <w:rFonts w:ascii="Arial" w:hAnsi="Arial"/>
          <w:lang w:val="en-US"/>
        </w:rPr>
        <w:t>201</w:t>
      </w:r>
      <w:r>
        <w:rPr>
          <w:rFonts w:ascii="Arial" w:hAnsi="Arial"/>
        </w:rPr>
        <w:t>, Столична община - район Витоша, представлявано от Ангелин Цачев - изпълнителен директор, наричано по-долу НЕЗАВИСИМ ПРЕНОСЕН ОПЕРАТОР /НПО/ от една страна,</w:t>
      </w:r>
    </w:p>
    <w:p>
      <w:pPr>
        <w:spacing w:before="240" w:after="120"/>
        <w:jc w:val="both"/>
        <w:rPr>
          <w:rFonts w:ascii="Arial" w:hAnsi="Arial"/>
          <w:lang w:val="en-US"/>
        </w:rPr>
      </w:pPr>
    </w:p>
    <w:p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и</w:t>
      </w:r>
    </w:p>
    <w:p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……………….…………………………………………………………………...………………</w:t>
      </w:r>
      <w:r>
        <w:rPr>
          <w:rFonts w:ascii="Arial" w:hAnsi="Arial"/>
          <w:lang w:val="en-US"/>
        </w:rPr>
        <w:t>…</w:t>
      </w:r>
      <w:r>
        <w:rPr>
          <w:rFonts w:ascii="Arial" w:hAnsi="Arial"/>
        </w:rPr>
        <w:t>…, в качеството му на:</w:t>
      </w:r>
    </w:p>
    <w:p>
      <w:pPr>
        <w:spacing w:before="120" w:after="120"/>
        <w:jc w:val="both"/>
        <w:rPr>
          <w:rFonts w:ascii="Arial" w:hAnsi="Arial"/>
          <w:b/>
        </w:rPr>
      </w:pPr>
      <w:r>
        <w:rPr>
          <w:rFonts w:ascii="MS Gothic" w:eastAsia="MS Gothic" w:hAnsi="MS Gothic" w:hint="eastAsia"/>
          <w:b/>
        </w:rPr>
        <w:t>☐</w:t>
      </w:r>
      <w:r>
        <w:rPr>
          <w:rFonts w:ascii="Arial" w:hAnsi="Arial"/>
          <w:b/>
        </w:rPr>
        <w:t xml:space="preserve"> ПОТРЕБИТЕЛ;</w:t>
      </w:r>
    </w:p>
    <w:p>
      <w:pPr>
        <w:spacing w:before="120" w:after="120"/>
        <w:jc w:val="both"/>
        <w:rPr>
          <w:rFonts w:ascii="Arial" w:hAnsi="Arial"/>
          <w:b/>
        </w:rPr>
      </w:pPr>
      <w:r>
        <w:rPr>
          <w:rFonts w:ascii="MS Gothic" w:eastAsia="MS Gothic" w:hAnsi="MS Gothic" w:cs="MS Gothic" w:hint="eastAsia"/>
          <w:b/>
        </w:rPr>
        <w:t>☐</w:t>
      </w:r>
      <w:r>
        <w:rPr>
          <w:rFonts w:ascii="Arial" w:hAnsi="Arial"/>
          <w:b/>
        </w:rPr>
        <w:t xml:space="preserve"> ПРОИЗВОДИТЕЛ,</w:t>
      </w:r>
    </w:p>
    <w:p>
      <w:pPr>
        <w:spacing w:before="120" w:after="120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идентификационен номер на търговски участник ………….………………………….., съгласно известието за приемане на заявлението за регистрация за периода на провеждане на 72 часови проби при експлоатационни условия, с адрес на управление </w:t>
      </w:r>
    </w:p>
    <w:p>
      <w:pPr>
        <w:spacing w:before="120" w:after="120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……………….……………….…………………………………………………………….……………, </w:t>
      </w:r>
    </w:p>
    <w:p>
      <w:pPr>
        <w:spacing w:before="120" w:after="120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с ЕИК …………………………….… в Търговския регистър при Агенция по вписванията, </w:t>
      </w:r>
    </w:p>
    <w:p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представлявано от……………………………………………………………………………………. </w:t>
      </w:r>
    </w:p>
    <w:p>
      <w:pPr>
        <w:spacing w:before="120" w:after="120"/>
        <w:jc w:val="both"/>
        <w:rPr>
          <w:rFonts w:ascii="Arial" w:hAnsi="Arial"/>
          <w:lang w:val="ru-RU"/>
        </w:rPr>
      </w:pPr>
      <w:r>
        <w:rPr>
          <w:rFonts w:ascii="Arial" w:hAnsi="Arial"/>
        </w:rPr>
        <w:t>………………………….…………………………………………………..………………………</w:t>
      </w:r>
      <w:r>
        <w:rPr>
          <w:rFonts w:ascii="Arial" w:hAnsi="Arial"/>
          <w:lang w:val="ru-RU"/>
        </w:rPr>
        <w:t xml:space="preserve"> - </w:t>
      </w:r>
    </w:p>
    <w:p>
      <w:pPr>
        <w:spacing w:before="120" w:after="120"/>
        <w:jc w:val="both"/>
        <w:rPr>
          <w:rFonts w:ascii="Arial" w:hAnsi="Arial"/>
          <w:lang w:val="en-US"/>
        </w:rPr>
      </w:pPr>
      <w:r>
        <w:rPr>
          <w:rFonts w:ascii="Arial" w:hAnsi="Arial"/>
          <w:lang w:val="ru-RU"/>
        </w:rPr>
        <w:t>...................</w:t>
      </w:r>
      <w:r>
        <w:rPr>
          <w:rFonts w:ascii="Arial" w:hAnsi="Arial"/>
        </w:rPr>
        <w:t>………………………………………………………, наричано по-нататък търговски участник (ТУ) от друга страна</w:t>
      </w:r>
    </w:p>
    <w:p>
      <w:pPr>
        <w:spacing w:before="120" w:after="120"/>
        <w:jc w:val="both"/>
        <w:rPr>
          <w:rFonts w:ascii="Arial" w:hAnsi="Arial"/>
          <w:lang w:val="en-US"/>
        </w:rPr>
      </w:pPr>
    </w:p>
    <w:p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се сключи настоящият договор.</w:t>
      </w:r>
    </w:p>
    <w:p>
      <w:pPr>
        <w:pStyle w:val="Heading2"/>
      </w:pPr>
      <w:r>
        <w:lastRenderedPageBreak/>
        <w:br/>
        <w:t>Предмет на договора и условия за влизането му в сила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Предмет на настоящия Договор са сделките за компенсиране на отклоненията между измерените количества произведена и/или потребена електрическа енергия от обектите на ТУ, който отговаря самостоятелно за своите небаланси, и валидираните от НПО агрегирани графици за продажба и/или покупка на електрическа енергия, за периода на</w:t>
      </w:r>
      <w:r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</w:rPr>
        <w:t xml:space="preserve">провеждане на </w:t>
      </w:r>
      <w:r>
        <w:rPr>
          <w:rFonts w:ascii="Arial" w:hAnsi="Arial"/>
        </w:rPr>
        <w:t>72 часовите проби при експлоатационни условия</w:t>
      </w:r>
      <w:r>
        <w:rPr>
          <w:rFonts w:ascii="Arial" w:hAnsi="Arial"/>
          <w:bCs/>
        </w:rPr>
        <w:t xml:space="preserve">, разрешени от </w:t>
      </w:r>
      <w:r>
        <w:rPr>
          <w:rFonts w:ascii="Arial" w:hAnsi="Arial" w:cs="Arial"/>
          <w:bCs/>
          <w:lang w:eastAsia="bg-BG"/>
        </w:rPr>
        <w:t>НПО</w:t>
      </w:r>
      <w:r>
        <w:rPr>
          <w:rFonts w:ascii="Arial" w:hAnsi="Arial"/>
          <w:bCs/>
        </w:rPr>
        <w:t>, до завършване на техническите изпитания.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  <w:lang w:val="en-US"/>
        </w:rPr>
      </w:pPr>
      <w:r>
        <w:rPr>
          <w:rFonts w:ascii="Arial" w:hAnsi="Arial"/>
          <w:bCs/>
        </w:rPr>
        <w:t>Определянето на количествата енергиен недостиг и енергиен излишък се извършва в съответствие с ПТЕЕ.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Определянето на цените за енергиен недостиг и енергиен излишък се извършва в съответствие с ПТЕЕ.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 xml:space="preserve">Договорът за балансиране се сключва за срок до успешното приключване на </w:t>
      </w:r>
      <w:r>
        <w:rPr>
          <w:rFonts w:ascii="Arial" w:hAnsi="Arial"/>
        </w:rPr>
        <w:t>72 часовите проби при експлоатационни условия.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</w:rPr>
        <w:t xml:space="preserve">Този договор </w:t>
      </w:r>
      <w:r>
        <w:rPr>
          <w:rFonts w:ascii="Arial" w:hAnsi="Arial"/>
          <w:bCs/>
        </w:rPr>
        <w:t xml:space="preserve">поражда действие след подписване от двете страни и след като ТУ е предоставил депозит, определен съгласно </w:t>
      </w:r>
      <w:r>
        <w:rPr>
          <w:rFonts w:ascii="Arial" w:hAnsi="Arial" w:cs="Arial"/>
          <w:bCs/>
        </w:rPr>
        <w:t>Инструкция по чл.184, ал.1 от ПТЕЕ.</w:t>
      </w:r>
    </w:p>
    <w:p>
      <w:pPr>
        <w:spacing w:before="120" w:after="120"/>
        <w:jc w:val="both"/>
        <w:rPr>
          <w:rFonts w:ascii="Arial" w:hAnsi="Arial"/>
        </w:rPr>
      </w:pPr>
    </w:p>
    <w:p>
      <w:pPr>
        <w:pStyle w:val="Heading2"/>
      </w:pPr>
      <w:r>
        <w:rPr>
          <w:rStyle w:val="Heading2Char"/>
        </w:rPr>
        <w:br/>
      </w:r>
      <w:r>
        <w:t>Права и задължения на НПО</w:t>
      </w:r>
    </w:p>
    <w:p>
      <w:pPr>
        <w:pStyle w:val="ListParagraph"/>
        <w:numPr>
          <w:ilvl w:val="0"/>
          <w:numId w:val="5"/>
        </w:numPr>
        <w:spacing w:before="120" w:after="120"/>
        <w:jc w:val="both"/>
        <w:outlineLvl w:val="2"/>
        <w:rPr>
          <w:rFonts w:ascii="Arial" w:hAnsi="Arial"/>
          <w:bCs/>
          <w:vanish/>
        </w:rPr>
      </w:pP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извършва необходимите действия за регистриране на обекта на търговския участник в системата за администриране на пазара.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сключва договори с доставчици на балансираща енергия, с цел покупка и продажба на балансираща енергия, за да покрива небалансите на координаторите на балансиращи групи и търговски участници, които отговарят самостоятелно за своите небаланси.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определя количествата електрическа енергия за регулиране на ЕЕС, които се предоставят/компенсират от доставчиците на балансираща енергия, както и общия енергиен недостиг и общия енергиен излишък за всеки период на сетълмент, който е един час.</w:t>
      </w:r>
      <w:bookmarkStart w:id="1" w:name="_Ref309500230"/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изготвя дневни извлечения за сетълмент на седмична база, в срок от три работни дни след края на седмицата, за дните от понеделник до неделя включително за предходната календарна седмица, в случай че са постъпили данните от средствата за търговско измерване от всички мрежови оператори, за които ТУ се информира от системата за администриране на пазара, която е достъпна на сайта на НПО.</w:t>
      </w:r>
      <w:bookmarkEnd w:id="1"/>
      <w:r>
        <w:rPr>
          <w:rFonts w:ascii="Arial" w:hAnsi="Arial"/>
          <w:bCs/>
        </w:rPr>
        <w:t xml:space="preserve"> Тези извлечения се изготвят само в случай, че са постъпили валидирани данни от средствата за търговско измерване, от всички оператори на електрически мрежи и собственици на измервателни уреди, отговорни за предоставяне на данни на НПО.</w:t>
      </w:r>
      <w:bookmarkStart w:id="2" w:name="_Ref309500238"/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изготвя обобщено извлечение за сетълмент за съответния календарен месец в сроковете, съгласно ПТЕЕ  и го изпраща на ТУ по електронна поща.</w:t>
      </w:r>
      <w:bookmarkEnd w:id="2"/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за всеки отчетен период издава и изпраща фактури на ТУ, който е отговорен за финансовия сетълмент, за реализирания енергиен недостиг и продадената балансираща енергия.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Отчетният период е един и обхваща сделките с балансираща енергия от първо до последно число на календарния месец.</w:t>
      </w:r>
      <w:bookmarkStart w:id="3" w:name="_Ref309500111"/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 xml:space="preserve">При забавено изпълнение на задълженията за плащане по този договор, НПО усвоява предоставения му депозит до размера на главницата, неустойка за забава и такси, за което информира последващо ТУ с уведомително писмо по факс или по електронна поща. </w:t>
      </w:r>
      <w:bookmarkStart w:id="4" w:name="_Ref309500127"/>
      <w:bookmarkEnd w:id="3"/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ТУ е длъжен да предостави нов депозит в полза на НПО в срок от 2 (два) работни дни от датата на уведомлението по т. 2.8.</w:t>
      </w:r>
      <w:bookmarkEnd w:id="4"/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 xml:space="preserve">В случай че плащането за реализираните небаланси не е осъществено в срок и/или не е възстановена изискуемата сума по депозита по т.2.9, НПО има право да  не валидира графици за доставка, и да прекрати провеждането на </w:t>
      </w:r>
      <w:r>
        <w:rPr>
          <w:rFonts w:ascii="Arial" w:hAnsi="Arial"/>
        </w:rPr>
        <w:t>72 часовите проби при експлоатационни условия</w:t>
      </w:r>
      <w:r>
        <w:rPr>
          <w:rFonts w:ascii="Arial" w:hAnsi="Arial"/>
          <w:bCs/>
        </w:rPr>
        <w:t>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има право да прекрати и/или ограничи графици за обмен на ТУ, което се прилага спрямо всички участници в пазара, при настъпване на следните обстоятелства:</w:t>
      </w:r>
    </w:p>
    <w:p>
      <w:pPr>
        <w:pStyle w:val="ListParagraph"/>
        <w:numPr>
          <w:ilvl w:val="2"/>
          <w:numId w:val="5"/>
        </w:numPr>
        <w:spacing w:before="120" w:after="120"/>
        <w:ind w:left="851" w:hanging="709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 w:cs="Arial"/>
          <w:bCs/>
        </w:rPr>
        <w:t>Отпадане на системата за администриране на пазара.</w:t>
      </w:r>
    </w:p>
    <w:p>
      <w:pPr>
        <w:pStyle w:val="ListParagraph"/>
        <w:numPr>
          <w:ilvl w:val="2"/>
          <w:numId w:val="5"/>
        </w:numPr>
        <w:spacing w:before="120" w:after="120"/>
        <w:ind w:left="851" w:hanging="709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 w:cs="Arial"/>
          <w:bCs/>
        </w:rPr>
        <w:t>При възникване или за предотвратяване на аварии по съоръжения за производство, потребление и пренос на електрическа енергия.</w:t>
      </w:r>
    </w:p>
    <w:p>
      <w:pPr>
        <w:pStyle w:val="ListParagraph"/>
        <w:numPr>
          <w:ilvl w:val="2"/>
          <w:numId w:val="5"/>
        </w:numPr>
        <w:spacing w:before="120" w:after="120"/>
        <w:ind w:left="851" w:hanging="709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 w:cs="Arial"/>
          <w:bCs/>
        </w:rPr>
        <w:t>При претоварване на електрическите мрежи.</w:t>
      </w:r>
    </w:p>
    <w:p>
      <w:pPr>
        <w:pStyle w:val="ListParagraph"/>
        <w:numPr>
          <w:ilvl w:val="2"/>
          <w:numId w:val="5"/>
        </w:numPr>
        <w:spacing w:before="120" w:after="120"/>
        <w:ind w:left="851" w:hanging="709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 w:cs="Arial"/>
          <w:bCs/>
        </w:rPr>
        <w:t>При енергийно необезпечен график за производство.</w:t>
      </w:r>
    </w:p>
    <w:p>
      <w:pPr>
        <w:pStyle w:val="ListParagraph"/>
        <w:numPr>
          <w:ilvl w:val="2"/>
          <w:numId w:val="5"/>
        </w:numPr>
        <w:spacing w:before="120" w:after="120"/>
        <w:ind w:left="851" w:hanging="709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 w:cs="Arial"/>
          <w:bCs/>
        </w:rPr>
        <w:t>Разпоредителни мерки на компетентни органи.</w:t>
      </w:r>
    </w:p>
    <w:p>
      <w:pPr>
        <w:pStyle w:val="ListParagraph"/>
        <w:numPr>
          <w:ilvl w:val="2"/>
          <w:numId w:val="5"/>
        </w:numPr>
        <w:spacing w:before="120" w:after="120"/>
        <w:ind w:left="851" w:hanging="709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 w:cs="Arial"/>
          <w:bCs/>
        </w:rPr>
        <w:t>При невъзможност за поддържане баланса на ЕЕС, и след като всички други мерки, съгласно изискванията на ENTSO-E са били предприети.</w:t>
      </w:r>
    </w:p>
    <w:p>
      <w:pPr>
        <w:pStyle w:val="ListParagraph"/>
        <w:numPr>
          <w:ilvl w:val="2"/>
          <w:numId w:val="5"/>
        </w:numPr>
        <w:spacing w:before="120" w:after="120"/>
        <w:ind w:left="851" w:hanging="709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 w:cs="Arial"/>
          <w:bCs/>
        </w:rPr>
        <w:t>В случаите на чл.73 от Закона за енергетиката и при други хипотези на непреодолима сила.</w:t>
      </w:r>
    </w:p>
    <w:p>
      <w:pPr>
        <w:pStyle w:val="ListParagraph"/>
        <w:numPr>
          <w:ilvl w:val="1"/>
          <w:numId w:val="5"/>
        </w:numPr>
        <w:tabs>
          <w:tab w:val="num" w:pos="0"/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В случаите на т.2.11 НПО се съобразява със сроковете за известяване, ако такива са регламентирани в нормативната уредба. Взаимоотношенията, свързани с производството и консумацията на електрическа енергия в ЕЕС за периода на прекратяване на пазара, се уреждат съгласно ПТЕЕ.</w:t>
      </w:r>
    </w:p>
    <w:p>
      <w:pPr>
        <w:pStyle w:val="ListParagraph"/>
        <w:numPr>
          <w:ilvl w:val="1"/>
          <w:numId w:val="5"/>
        </w:numPr>
        <w:tabs>
          <w:tab w:val="num" w:pos="0"/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В случай на аварийна ситуация и/или непреодолима сила, които имат локален харакер, търговските участници предприемат необходимите мерки за съгласуване на графици за покупка и продажба, които да отчитат променените обстоятелства за следващия незатворен период на доставка.</w:t>
      </w:r>
    </w:p>
    <w:p>
      <w:pPr>
        <w:pStyle w:val="ListParagraph"/>
        <w:numPr>
          <w:ilvl w:val="1"/>
          <w:numId w:val="5"/>
        </w:numPr>
        <w:tabs>
          <w:tab w:val="num" w:pos="0"/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не прекратява и не променя графици на търговските участници, в случаите на т.2.13 след регистрирането им.</w:t>
      </w:r>
    </w:p>
    <w:p>
      <w:pPr>
        <w:pStyle w:val="ListParagraph"/>
        <w:numPr>
          <w:ilvl w:val="1"/>
          <w:numId w:val="5"/>
        </w:numPr>
        <w:tabs>
          <w:tab w:val="num" w:pos="0"/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При изчерпване на възможностите за регулиране с разполагаемите регулиращи мощности в ЕЕС и невъзможност за поддържане на баланса между производството и потреблението, НПО има право да наложи ограничение на производството на електрическа енергия, като мярка, предхождаща прекратяването на пазара по т.2.11.</w:t>
      </w:r>
    </w:p>
    <w:p>
      <w:pPr>
        <w:pStyle w:val="ListParagraph"/>
        <w:numPr>
          <w:ilvl w:val="1"/>
          <w:numId w:val="5"/>
        </w:numPr>
        <w:tabs>
          <w:tab w:val="num" w:pos="0"/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При налагане на ограничението по т.2.15 след крайния срок за регистриране на графиците за обмен в деня преди доставката, производителите са задължени да се съобразят с изискванията на НПО, независимо от прогнозните количества, предоставени от ТУ и регистрирания график за обмен от НПО в деня преди доставката и в рамките на деня на доставка.</w:t>
      </w:r>
    </w:p>
    <w:p>
      <w:pPr>
        <w:pStyle w:val="ListParagraph"/>
        <w:numPr>
          <w:ilvl w:val="1"/>
          <w:numId w:val="5"/>
        </w:numPr>
        <w:tabs>
          <w:tab w:val="num" w:pos="0"/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В случаите на т.2.16, НПО не санкционира и не начислява небаланс за периодите на наложено ограничение в производството, само за обектите с наложено ограничение, и в случай че имат търговски  график, регистриран от НПО и зададеното ограничение е под валидирания график.</w:t>
      </w:r>
    </w:p>
    <w:p>
      <w:pPr>
        <w:pStyle w:val="ListParagraph"/>
        <w:numPr>
          <w:ilvl w:val="1"/>
          <w:numId w:val="5"/>
        </w:numPr>
        <w:tabs>
          <w:tab w:val="num" w:pos="0"/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не санкционира и не начислява небаланс и в случаите на смущения в работата на електропреносната мрежа, извън случаите на непреодолима сила,  настъпили не по вина на ползвателя на мрежата, за обекти с регистриран търговски график.</w:t>
      </w:r>
    </w:p>
    <w:p>
      <w:pPr>
        <w:pStyle w:val="ListParagraph"/>
        <w:numPr>
          <w:ilvl w:val="1"/>
          <w:numId w:val="5"/>
        </w:numPr>
        <w:tabs>
          <w:tab w:val="num" w:pos="0"/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Всеки конкретен случай по т.2.18, и настъпилите обстоятелства, трябва да бъдат документирани със справка от НПО.</w:t>
      </w:r>
    </w:p>
    <w:p>
      <w:pPr>
        <w:spacing w:before="120" w:after="120"/>
        <w:jc w:val="both"/>
        <w:rPr>
          <w:rFonts w:ascii="Arial" w:hAnsi="Arial"/>
        </w:rPr>
      </w:pPr>
    </w:p>
    <w:p>
      <w:pPr>
        <w:pStyle w:val="Heading2"/>
      </w:pPr>
      <w:r>
        <w:rPr>
          <w:rStyle w:val="Heading2Char"/>
          <w:lang w:val="en-US"/>
        </w:rPr>
        <w:t xml:space="preserve"> </w:t>
      </w:r>
      <w:r>
        <w:rPr>
          <w:rStyle w:val="Heading2Char"/>
        </w:rPr>
        <w:br/>
      </w:r>
      <w:r>
        <w:t>Права и задължения на ТУ</w:t>
      </w:r>
    </w:p>
    <w:p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/>
        <w:jc w:val="both"/>
        <w:outlineLvl w:val="2"/>
        <w:rPr>
          <w:rFonts w:ascii="Arial" w:hAnsi="Arial"/>
          <w:bCs/>
          <w:vanish/>
        </w:rPr>
      </w:pP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 xml:space="preserve">ТУ извършва необходимите действия за регистриране на пазара на балансираща енергия, за периода на провеждане на </w:t>
      </w:r>
      <w:r>
        <w:rPr>
          <w:rFonts w:ascii="Arial" w:hAnsi="Arial"/>
        </w:rPr>
        <w:t>72 часови проби при експлоатационни условия</w:t>
      </w:r>
      <w:r>
        <w:rPr>
          <w:rFonts w:ascii="Arial" w:hAnsi="Arial"/>
          <w:bCs/>
        </w:rPr>
        <w:t>, чрез изпращане на заявление за регистрация по образец, публикуван на сайта на НПО.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ТУ, който е отговорен за финансовия сетълмент, на база извлеченията по т. 2.4 и т. 2.5, за всеки отчетен период издава и изпраща фактури на НПО за реализирания енергиен излишък и продадена или закупена балансираща енергия.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ТУ изпраща данните, свързани с договорените количества по графиците за обмен,  съгласно сроковете, указани в „График за изпълнение на дейностите и обмен на информация в системите за администриране на пазара за пазарен сегмент ден напред и в рамките на деня “, и „Инструкции за известяване и валидиране на търговски и производствени графици за пазарен сегмент ден напред и в рамките на деня“ публикувани на сайта на НПО, с отчитане на прогнозното производство и/или потребление.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ТУ изпълнява техническите изисквания по отношение на средствата за комуникация, посочени в Известието за приемане на заявлението за регистрация, относно поддържането, предаването и съхранението на данни във връзка с участието на пазара на балансираща енергия.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ТУ урежда в срок финансовите си задължения и същевременно поддържа в необходимия размер депозита, определено от НПО, съгласно Инструкция по чл.184, ал.1 от ПТЕЕ</w:t>
      </w:r>
      <w:r>
        <w:rPr>
          <w:rFonts w:ascii="Arial" w:hAnsi="Arial" w:cs="Arial"/>
          <w:bCs/>
        </w:rPr>
        <w:t>.</w:t>
      </w:r>
      <w:bookmarkStart w:id="5" w:name="_Ref309502486"/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ТУ се задължава да известява графици само в рамките на работния диапазон на производствените си мощности и съгласно очакваното нетно производство за следващия ден.</w:t>
      </w:r>
      <w:bookmarkEnd w:id="5"/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 xml:space="preserve">ТУ подава писмено искане до НПО за провеждане на </w:t>
      </w:r>
      <w:r>
        <w:rPr>
          <w:rFonts w:ascii="Arial" w:hAnsi="Arial"/>
        </w:rPr>
        <w:t>72 часови проби при експлоатационни условия</w:t>
      </w:r>
      <w:r>
        <w:rPr>
          <w:rFonts w:ascii="Arial" w:hAnsi="Arial"/>
          <w:bCs/>
        </w:rPr>
        <w:t>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 xml:space="preserve">ТУ предоставя на НПО времеви график за провеждане на </w:t>
      </w:r>
      <w:r>
        <w:rPr>
          <w:rFonts w:ascii="Arial" w:hAnsi="Arial"/>
        </w:rPr>
        <w:t>72 часовите проби</w:t>
      </w:r>
      <w:r>
        <w:rPr>
          <w:rFonts w:ascii="Arial" w:hAnsi="Arial"/>
          <w:bCs/>
        </w:rPr>
        <w:t>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ТУ предоставя на НПО протокол (образец/приложение №17 към чл.7, ал.3, т.17 от Наредба №3 от 31.07.2003г. за съставяне на актове и протоколи по време на строителството) за успешно проведени 72 часови проби при експлоатационни условия в срок от 5 работни дни от подписването му от специално назначената комисия.</w:t>
      </w:r>
    </w:p>
    <w:p>
      <w:pPr>
        <w:spacing w:before="120" w:after="120"/>
        <w:jc w:val="both"/>
        <w:rPr>
          <w:rFonts w:ascii="Arial" w:hAnsi="Arial"/>
        </w:rPr>
      </w:pPr>
    </w:p>
    <w:p>
      <w:pPr>
        <w:pStyle w:val="Heading2"/>
      </w:pPr>
      <w:r>
        <w:br/>
        <w:t>Задължения на страните по отношение на измерването, отчитането на електрическата енергия и валидирането на данните</w:t>
      </w:r>
    </w:p>
    <w:p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/>
        <w:jc w:val="both"/>
        <w:outlineLvl w:val="2"/>
        <w:rPr>
          <w:rFonts w:ascii="Arial" w:hAnsi="Arial"/>
          <w:bCs/>
          <w:vanish/>
        </w:rPr>
      </w:pP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Обектите, типовете електромери за търговско измерване на количеството електрическа енергия, фабричните номера и идентификационни кодове, както и техническа информация за токовите и напреженови трансформатори, монтирани в уредбите на ТУ, са посочени в приложенията към Заявлението за регистрация, които са неразделна част от този договор.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изготвя дневните извлечения за сетълмент на ТУ, на база на валидираните данни, получени от всички оператори на електрически мрежи и собственици на измервателни уреди.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Във всички случаи на неизмерване, неправилно и/или неточно измерване на електрическата енергия, НПО извършва повторен сетълмент за период, не по-ранен от първо число на предходния календарен месец, съгласно ПТЕЕ</w:t>
      </w:r>
      <w:r>
        <w:rPr>
          <w:rFonts w:ascii="Arial" w:hAnsi="Arial" w:cs="Arial"/>
          <w:bCs/>
        </w:rPr>
        <w:t>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извършва повторен сетълмент, в случаите по чл.182 от ПТЕЕ, само за обектите по чл.86, ал.1 от ПТЕЕ, за период, не по-дълъг от два месеца, предхождащ датата на установяване на промяната на данните за сетълмент.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Рекапитулацията по т.4.4 се извършва само по отношение на засегнатите обекти, като НПО не променя цените на балансиращата енергия.</w:t>
      </w:r>
    </w:p>
    <w:p>
      <w:pPr>
        <w:pStyle w:val="Heading2"/>
      </w:pPr>
      <w:r>
        <w:br/>
        <w:t>Фактуриране и плащане на балансираща енергия. Неустойки. Обезпечения</w:t>
      </w:r>
    </w:p>
    <w:p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/>
        <w:jc w:val="both"/>
        <w:outlineLvl w:val="2"/>
        <w:rPr>
          <w:rFonts w:ascii="Arial" w:hAnsi="Arial"/>
          <w:bCs/>
          <w:vanish/>
        </w:rPr>
      </w:pP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Фактурирането се извършва съгласно дневните и обобщени извлечения за сетълмент, с дата на данъчно събитие - последния ден на календарния месец и се изпращат на ТУ/НПО по факс или по електронна поща, в деня на издаването им.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Фактурите се издават от НПО и ТУ за количеството балансираща енергия, което са продали или закупили за съответния отчетен период, отразено в обобщените извлечения за сетълмент. Оригиналът на фактурата се изпраща по пощата с обратна разписка или по куриерска поща, освен в случаите, когато ТУ се е съгласил да получава електронна фактура.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 xml:space="preserve">В случай на забава на парични задължения по договора, неизправната страна дължи на изправната страна неустойка за забава в размер на 0.05% върху стойността на просроченото плащане за периода на забава от деня, следващ падежа по </w:t>
      </w:r>
      <w:r>
        <w:rPr>
          <w:rFonts w:ascii="Arial" w:hAnsi="Arial"/>
          <w:bCs/>
        </w:rPr>
        <w:lastRenderedPageBreak/>
        <w:t>фактурата, до деня на постъпване на дължимата сума по сметката на изправната страна, за всеки ден забава. Когато преведената сума не е достатъчна да покрие лихвите и главницата, първо се погасяват лихвите.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Плащанията съгласно издадени фактури се извършват чрез директен банков превод с платежно нареждане по банкови сметки на страните, посочени във фактурите.</w:t>
      </w:r>
      <w:bookmarkStart w:id="6" w:name="_Ref309500851"/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Срокът за плащане на задълженията на НПО по издадена от ТУ фактура е до 20 /двадесето/ число на месеца, следващ отчетния като неполучаването на фактурата в оригинал не освобождава НПО от задължението му да заплати сумите по нея в договорения срок.</w:t>
      </w:r>
      <w:bookmarkEnd w:id="6"/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Срокът за плащане на задълженията на ТУ по издадена от НПО фактура е до 15 /петнадесето/ число на месеца, следващ отчетния като неполучаването на фактурата в оригинал не освобождава ТУ от задължението му да заплати сумите по нея в договорения срок.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Задължението за плащане се счита за изпълнено в срок, ако цялата дължима сума постъпи по банковата сметка на НПО, най-късно до 17:00 часа в деня на падежа съгласно издадената фактура, а когато денят на падежа е неработен ден - до 17:00 часа на първия следващ работен ден.</w:t>
      </w:r>
      <w:bookmarkStart w:id="7" w:name="_Ref309502462"/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 xml:space="preserve">ТУ предоставя в полза на НПО депозит по посочена от НПО банкова сметка определен, съгласно </w:t>
      </w:r>
      <w:r>
        <w:rPr>
          <w:rFonts w:ascii="Arial" w:hAnsi="Arial" w:cs="Arial"/>
          <w:bCs/>
        </w:rPr>
        <w:t>Инструкция по чл.184, ал.1 от ПТЕЕ.</w:t>
      </w:r>
      <w:bookmarkStart w:id="8" w:name="_Ref309500900"/>
      <w:bookmarkEnd w:id="7"/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Изискуемият размер на предоставеното обезпечение по т.5.8 при първоначална регистрация и последващите актуализации, се определят от НПО, съгласно Инструкция по чл.184, ал.1 от ПТЕЕ.</w:t>
      </w:r>
      <w:bookmarkStart w:id="9" w:name="_Ref309500986"/>
      <w:bookmarkEnd w:id="8"/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има право да изисква актуализация на сумата по т.5.9, когато нетното изчислено задължение към НПО за съответния период надвишава сумата на предоставеното обезпечение или в случай че прогнозното задължение съгласно предварителен физически сетълмент в рамките на периода надвиши предоставеното обезпечение и в тези случаи изпраща уведомление на ТУ.</w:t>
      </w:r>
      <w:bookmarkEnd w:id="9"/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Обезпеченията в полза на НПО се актуализират в срок до два работни дни от уведомлението на НПО, съгласно условията по т.5.10.</w:t>
      </w:r>
    </w:p>
    <w:p>
      <w:pPr>
        <w:pStyle w:val="ListParagraph"/>
        <w:numPr>
          <w:ilvl w:val="1"/>
          <w:numId w:val="5"/>
        </w:numPr>
        <w:tabs>
          <w:tab w:val="left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 xml:space="preserve">В случай че ТУ не актуализира размера на предоставеното обезпечение в изискуемия срок и размер, НПО има право да не валидира графици за доставка и да прекрати провеждането на </w:t>
      </w:r>
      <w:r>
        <w:rPr>
          <w:rFonts w:ascii="Arial" w:hAnsi="Arial"/>
        </w:rPr>
        <w:t>72 часовите проби</w:t>
      </w:r>
      <w:r>
        <w:rPr>
          <w:rFonts w:ascii="Arial" w:hAnsi="Arial"/>
          <w:bCs/>
        </w:rPr>
        <w:t>.</w:t>
      </w:r>
    </w:p>
    <w:p>
      <w:pPr>
        <w:spacing w:before="120" w:after="120"/>
        <w:jc w:val="both"/>
        <w:rPr>
          <w:rFonts w:ascii="Arial" w:hAnsi="Arial"/>
        </w:rPr>
      </w:pPr>
    </w:p>
    <w:p>
      <w:pPr>
        <w:pStyle w:val="Heading2"/>
      </w:pPr>
      <w:r>
        <w:br/>
        <w:t>Оспорване на количества и цени</w:t>
      </w:r>
    </w:p>
    <w:p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/>
        <w:jc w:val="both"/>
        <w:outlineLvl w:val="2"/>
        <w:rPr>
          <w:rFonts w:ascii="Arial" w:hAnsi="Arial"/>
          <w:bCs/>
          <w:vanish/>
        </w:rPr>
      </w:pPr>
      <w:bookmarkStart w:id="10" w:name="_Ref309501091"/>
    </w:p>
    <w:p>
      <w:pPr>
        <w:pStyle w:val="ListParagraph"/>
        <w:numPr>
          <w:ilvl w:val="1"/>
          <w:numId w:val="5"/>
        </w:numPr>
        <w:tabs>
          <w:tab w:val="left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НПО изготвя обобщено извлечение за сетълмент, което ТУ има право да оспори в срок от един работен ден от получаването му.</w:t>
      </w:r>
      <w:bookmarkEnd w:id="10"/>
    </w:p>
    <w:p>
      <w:pPr>
        <w:pStyle w:val="ListParagraph"/>
        <w:numPr>
          <w:ilvl w:val="1"/>
          <w:numId w:val="5"/>
        </w:numPr>
        <w:tabs>
          <w:tab w:val="left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В случаите на оспорване по т.6.1 от този договор, ТУ прилага необходимите документи (справки, показания на електромери, обменена информация с НПО, разпределителното предприятие</w:t>
      </w:r>
      <w:r>
        <w:rPr>
          <w:rFonts w:ascii="Arial" w:hAnsi="Arial"/>
          <w:bCs/>
          <w:lang w:val="ru-RU"/>
        </w:rPr>
        <w:t>)</w:t>
      </w:r>
      <w:r>
        <w:rPr>
          <w:rFonts w:ascii="Arial" w:hAnsi="Arial"/>
          <w:bCs/>
        </w:rPr>
        <w:t>.</w:t>
      </w:r>
    </w:p>
    <w:p>
      <w:pPr>
        <w:pStyle w:val="ListParagraph"/>
        <w:numPr>
          <w:ilvl w:val="1"/>
          <w:numId w:val="5"/>
        </w:numPr>
        <w:tabs>
          <w:tab w:val="left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НПО проверява повторно данните и при необходимост издава ново/и извлечения за сетълмент.</w:t>
      </w:r>
    </w:p>
    <w:p>
      <w:pPr>
        <w:pStyle w:val="ListParagraph"/>
        <w:numPr>
          <w:ilvl w:val="1"/>
          <w:numId w:val="5"/>
        </w:numPr>
        <w:tabs>
          <w:tab w:val="left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При наличие на спор по издадено извлечение за сетълмент, след сроковете, НПО и ТУ издават съответните фактури, съгласно обобщеното извлечение за сетълмент, което е в процес на оспорване и изпълняват задълженията по заплащането им съгласно т.6.6.</w:t>
      </w:r>
    </w:p>
    <w:p>
      <w:pPr>
        <w:pStyle w:val="ListParagraph"/>
        <w:numPr>
          <w:ilvl w:val="1"/>
          <w:numId w:val="5"/>
        </w:numPr>
        <w:tabs>
          <w:tab w:val="left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При разрешаване на спора в срока за плащане по фактурите, страните заплащат реално дължимите суми, като разликите се уреждат чрез данъчно дебитно/кредитно известие.</w:t>
      </w:r>
    </w:p>
    <w:p>
      <w:pPr>
        <w:pStyle w:val="ListParagraph"/>
        <w:numPr>
          <w:ilvl w:val="1"/>
          <w:numId w:val="5"/>
        </w:numPr>
        <w:tabs>
          <w:tab w:val="left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В случай че спорът не е разрешен в срока за плащане по издадените фактури, страните заплащат дължимите суми, съгласно издадените фактури. При разрешаване на спора, разликите се уреждат чрез дебитно</w:t>
      </w:r>
      <w:r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</w:rPr>
        <w:t>или кредитно известие.</w:t>
      </w:r>
    </w:p>
    <w:p>
      <w:pPr>
        <w:pStyle w:val="ListParagraph"/>
        <w:numPr>
          <w:ilvl w:val="1"/>
          <w:numId w:val="5"/>
        </w:numPr>
        <w:tabs>
          <w:tab w:val="left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</w:rPr>
        <w:t>Задълженията по издадените дебитни/кредитни известия се заплащат в срок от 5 (пет) работни дни от получаването им.</w:t>
      </w:r>
    </w:p>
    <w:p>
      <w:pPr>
        <w:pStyle w:val="ListParagraph"/>
        <w:tabs>
          <w:tab w:val="left" w:pos="993"/>
        </w:tabs>
        <w:spacing w:before="120" w:after="120"/>
        <w:ind w:left="0"/>
        <w:jc w:val="both"/>
        <w:outlineLvl w:val="2"/>
        <w:rPr>
          <w:rFonts w:ascii="Arial" w:hAnsi="Arial"/>
          <w:bCs/>
        </w:rPr>
      </w:pPr>
    </w:p>
    <w:p>
      <w:pPr>
        <w:pStyle w:val="Heading2"/>
      </w:pPr>
      <w:r>
        <w:br/>
        <w:t>Непреодолима сила</w:t>
      </w:r>
    </w:p>
    <w:p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/>
        <w:jc w:val="both"/>
        <w:outlineLvl w:val="2"/>
        <w:rPr>
          <w:rFonts w:ascii="Arial" w:hAnsi="Arial"/>
          <w:vanish/>
        </w:rPr>
      </w:pP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</w:rPr>
      </w:pPr>
      <w:r>
        <w:rPr>
          <w:rFonts w:ascii="Arial" w:hAnsi="Arial"/>
        </w:rPr>
        <w:t>Обстоятелства на непреодолима сила са непредвидени и непредотвратими събития или комбинация от събития от извънреден характер, извън контрола на страните, възникнали след сключването на договора като, но неограничаващи се до: война, саботаж, въстания, революция, бунт, терористични актове, експлозия, пожар, въздействие на околната среда върху електрически уредби и съоръжения по-големи от оразмерителните по проект, природни бедствия (наводнения, земетресения, мълнии, буря, ураган, торнадо, проливен дъжд, градушка, свличане, срутвания на земни маси, заледявания, и др.), доколкото тези събития пречат за изпълнение на задълженията по настоящия договор.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Страната, </w:t>
      </w:r>
      <w:r>
        <w:rPr>
          <w:rFonts w:ascii="Arial" w:hAnsi="Arial" w:cs="Arial"/>
        </w:rPr>
        <w:t>която не може да изпълни задълженията си по договора поради непреодолима сила</w:t>
      </w:r>
      <w:r>
        <w:rPr>
          <w:rFonts w:ascii="Arial" w:hAnsi="Arial" w:cs="Arial"/>
          <w:bCs/>
        </w:rPr>
        <w:t xml:space="preserve">, е длъжна да уведоми писмено другата страна за настъпването й, </w:t>
      </w:r>
      <w:r>
        <w:rPr>
          <w:rFonts w:ascii="Arial" w:hAnsi="Arial" w:cs="Arial"/>
        </w:rPr>
        <w:t>в какво се състои непреодолимата сила</w:t>
      </w:r>
      <w:r>
        <w:rPr>
          <w:rFonts w:ascii="Arial" w:hAnsi="Arial" w:cs="Arial"/>
          <w:bCs/>
        </w:rPr>
        <w:t xml:space="preserve"> и края на събитието или обстоятелството във възможно най-кратък срок, но не по-късно от 48 часа от узнаването за </w:t>
      </w:r>
      <w:r>
        <w:rPr>
          <w:rFonts w:ascii="Arial" w:hAnsi="Arial" w:cs="Arial"/>
        </w:rPr>
        <w:t>непреодолимата сила</w:t>
      </w:r>
      <w:r>
        <w:rPr>
          <w:rFonts w:ascii="Arial" w:hAnsi="Arial" w:cs="Arial"/>
          <w:bCs/>
        </w:rPr>
        <w:t>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</w:rPr>
      </w:pPr>
      <w:r>
        <w:rPr>
          <w:rFonts w:ascii="Arial" w:hAnsi="Arial"/>
          <w:bCs/>
        </w:rPr>
        <w:t>В случаите по т.7.1, се предприемат действията по т.2.13 и 2.14.</w:t>
      </w:r>
    </w:p>
    <w:p>
      <w:pPr>
        <w:pStyle w:val="Heading2"/>
      </w:pPr>
      <w:r>
        <w:br/>
      </w:r>
      <w:bookmarkStart w:id="11" w:name="_Ref309501540"/>
      <w:r>
        <w:t>Правила за обмен на документи и информация между страните</w:t>
      </w:r>
      <w:bookmarkEnd w:id="11"/>
    </w:p>
    <w:p>
      <w:pPr>
        <w:pStyle w:val="ListParagraph"/>
        <w:numPr>
          <w:ilvl w:val="0"/>
          <w:numId w:val="5"/>
        </w:numPr>
        <w:spacing w:before="120" w:after="120"/>
        <w:jc w:val="both"/>
        <w:outlineLvl w:val="2"/>
        <w:rPr>
          <w:rFonts w:ascii="Arial" w:hAnsi="Arial"/>
          <w:bCs/>
          <w:vanish/>
        </w:rPr>
      </w:pPr>
    </w:p>
    <w:p>
      <w:pPr>
        <w:pStyle w:val="ListParagraph"/>
        <w:numPr>
          <w:ilvl w:val="1"/>
          <w:numId w:val="5"/>
        </w:numPr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В случай че по време на действие на този договор настъпи промяна в представените при регистрацията на пазара на балансираща енергия данни, търговският участник уведомява НПО по електронна поща в рамките на 5 (пет) работни дни от възникване на промяната, а впоследствие изпраща документите по пощата.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 xml:space="preserve">Регистрирането на графиците за доставка се извършва съгласно инструкциите на НПО за ползване на системата за администриране на пазара и утвърдените </w:t>
      </w:r>
      <w:r>
        <w:rPr>
          <w:rFonts w:ascii="Arial" w:hAnsi="Arial"/>
          <w:bCs/>
        </w:rPr>
        <w:lastRenderedPageBreak/>
        <w:t>електронни адреси на НПО и ТУ. При технически проблем изпращащата страна изпраща информацията по факс, като спазва срока за изпращане на съответния документ.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ТУ се информира за дневните извлечения за сетълмент от системата за администриране на пазара, а обобщените извлечения за сетълмент се изпращат по електронна поща с потвърждение за получаване. В случай че ТУ не е получил обобщено извлечение по електронната поща, той уведомява НПО за това и НПО изпраща същия документ и по факс.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Фактурите за балансираща енергия, издадени от НПО и ТУ, се изпращат с писмо с обратна разписка или по куриерска поща, освен в случаите, когато ТУ се е съгласил да получава електронна фактура.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Документ, изпратен по електронна поща се счита за получен в момента на получаване на обратната разписка от сървъра на електронната поща на получателя. Документ, изпратен по факс се счита за получен в отразения час върху документа, потвърждаващ изпращането му.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При изпращане на документ по електронна поща и по факс за време на получаване се счита времето на първото получаване на документа.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Всички документи, неизброени изрично в раздел 8 на този договор се изпращат по електронна поща с потвърждение за получаване.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Документ се счита за валиден, ако е подписан или изпратен от съответно упълномощено лице от списъка лица в Заявлението за регистрация (за ТУ) и от Известието за приемане на заявлението за регистрация (за НПО).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Документите, изпратени по факс съдържат име и подпис на лицето, упълномощено да подписва документи, във връзка с участието на пазара на балансираща енергия.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Документите, изпратени по електронна поща се считат за валидни, ако са изпратени от електронния адрес на лицето, упълномощено да изпраща съответния документ.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За целите на документооборота НПО и ТУ поддържат времето на сървърите на електронната поща синхронизирано с часовото време на България.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Изисквания към сървъра за електронна поща:</w:t>
      </w:r>
    </w:p>
    <w:p>
      <w:pPr>
        <w:pStyle w:val="ListParagraph"/>
        <w:numPr>
          <w:ilvl w:val="2"/>
          <w:numId w:val="5"/>
        </w:numPr>
        <w:tabs>
          <w:tab w:val="num" w:pos="851"/>
        </w:tabs>
        <w:spacing w:before="120" w:after="120"/>
        <w:ind w:hanging="713"/>
        <w:contextualSpacing w:val="0"/>
        <w:jc w:val="both"/>
        <w:outlineLvl w:val="2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Системният часовник на сървъра за електронна поща и на прехвърлящия (relay) сървър, ако има такъв, да се поддържа с отклонение по-малко от една минута от DST на часовия пояс, в който се намира България.</w:t>
      </w: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Потвърждение и време за получените съобщения:</w:t>
      </w:r>
    </w:p>
    <w:p>
      <w:pPr>
        <w:pStyle w:val="ListParagraph"/>
        <w:numPr>
          <w:ilvl w:val="2"/>
          <w:numId w:val="5"/>
        </w:numPr>
        <w:tabs>
          <w:tab w:val="num" w:pos="851"/>
        </w:tabs>
        <w:spacing w:before="120" w:after="120"/>
        <w:ind w:hanging="713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  <w:iCs/>
        </w:rPr>
        <w:t>Когато сървърът за електронна поща е свързан директно към интернет, за време на получаване на съобщенията ще се счита регистрираното време за получаване в сървъра, съдържащо се в обратната разписка - Delivery Receipt. Сървърът трябва да осигурява такава обратна разписка.</w:t>
      </w:r>
    </w:p>
    <w:p>
      <w:pPr>
        <w:pStyle w:val="ListParagraph"/>
        <w:numPr>
          <w:ilvl w:val="2"/>
          <w:numId w:val="5"/>
        </w:numPr>
        <w:tabs>
          <w:tab w:val="num" w:pos="851"/>
        </w:tabs>
        <w:spacing w:before="120" w:after="120"/>
        <w:ind w:hanging="713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  <w:iCs/>
        </w:rPr>
        <w:t xml:space="preserve">Когато сървърът за електронна поща е свързан към интернет чрез прехвърлящ (relay) сървър, за време на получаване на съобщенията ще се счита регистрираното време за получаване в прехвърлящия сървър. </w:t>
      </w:r>
      <w:r>
        <w:rPr>
          <w:rFonts w:ascii="Arial" w:hAnsi="Arial"/>
          <w:bCs/>
          <w:iCs/>
        </w:rPr>
        <w:lastRenderedPageBreak/>
        <w:t>Последният трябва да осигурява изпращане на разписка, съдържаща времето на получаване на съобщението.</w:t>
      </w:r>
    </w:p>
    <w:p>
      <w:pPr>
        <w:spacing w:before="120" w:after="120"/>
        <w:jc w:val="both"/>
        <w:rPr>
          <w:rFonts w:ascii="Arial" w:hAnsi="Arial"/>
        </w:rPr>
      </w:pPr>
    </w:p>
    <w:p>
      <w:pPr>
        <w:pStyle w:val="Heading2"/>
      </w:pPr>
      <w:r>
        <w:br/>
        <w:t>Прекратяване на Договора за балансиране</w:t>
      </w:r>
    </w:p>
    <w:p>
      <w:pPr>
        <w:pStyle w:val="ListParagraph"/>
        <w:numPr>
          <w:ilvl w:val="0"/>
          <w:numId w:val="5"/>
        </w:numPr>
        <w:spacing w:before="120" w:after="120"/>
        <w:jc w:val="both"/>
        <w:outlineLvl w:val="2"/>
        <w:rPr>
          <w:rFonts w:ascii="Arial" w:hAnsi="Arial"/>
          <w:bCs/>
          <w:iCs/>
          <w:vanish/>
        </w:rPr>
      </w:pPr>
    </w:p>
    <w:p>
      <w:pPr>
        <w:pStyle w:val="ListParagraph"/>
        <w:numPr>
          <w:ilvl w:val="1"/>
          <w:numId w:val="5"/>
        </w:numPr>
        <w:tabs>
          <w:tab w:val="num" w:pos="851"/>
        </w:tabs>
        <w:spacing w:before="120" w:after="120"/>
        <w:ind w:left="856"/>
        <w:contextualSpacing w:val="0"/>
        <w:jc w:val="both"/>
        <w:outlineLvl w:val="2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Договорът за балансиране се прекратява:</w:t>
      </w:r>
    </w:p>
    <w:p>
      <w:pPr>
        <w:pStyle w:val="ListParagraph"/>
        <w:numPr>
          <w:ilvl w:val="2"/>
          <w:numId w:val="5"/>
        </w:numPr>
        <w:tabs>
          <w:tab w:val="num" w:pos="851"/>
        </w:tabs>
        <w:spacing w:before="120" w:after="120"/>
        <w:ind w:left="856" w:hanging="713"/>
        <w:contextualSpacing w:val="0"/>
        <w:jc w:val="both"/>
        <w:outlineLvl w:val="2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При заличаването на юридическото лице, страна по този договор.</w:t>
      </w:r>
    </w:p>
    <w:p>
      <w:pPr>
        <w:pStyle w:val="ListParagraph"/>
        <w:numPr>
          <w:ilvl w:val="2"/>
          <w:numId w:val="5"/>
        </w:numPr>
        <w:tabs>
          <w:tab w:val="num" w:pos="851"/>
        </w:tabs>
        <w:spacing w:before="120" w:after="120"/>
        <w:ind w:left="856" w:hanging="713"/>
        <w:contextualSpacing w:val="0"/>
        <w:jc w:val="both"/>
        <w:outlineLvl w:val="2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При отнемане или прекратяване на лицензията на която и да е от страните по този договор за съответната дейност.</w:t>
      </w:r>
    </w:p>
    <w:p>
      <w:pPr>
        <w:pStyle w:val="ListParagraph"/>
        <w:numPr>
          <w:ilvl w:val="2"/>
          <w:numId w:val="5"/>
        </w:numPr>
        <w:tabs>
          <w:tab w:val="num" w:pos="851"/>
        </w:tabs>
        <w:spacing w:before="120" w:after="120"/>
        <w:ind w:left="856" w:hanging="713"/>
        <w:contextualSpacing w:val="0"/>
        <w:jc w:val="both"/>
        <w:outlineLvl w:val="2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По взаимно съгласие между страните.</w:t>
      </w:r>
    </w:p>
    <w:p>
      <w:pPr>
        <w:pStyle w:val="ListParagraph"/>
        <w:numPr>
          <w:ilvl w:val="2"/>
          <w:numId w:val="5"/>
        </w:numPr>
        <w:tabs>
          <w:tab w:val="num" w:pos="851"/>
        </w:tabs>
        <w:spacing w:before="120" w:after="120"/>
        <w:ind w:hanging="713"/>
        <w:contextualSpacing w:val="0"/>
        <w:jc w:val="both"/>
        <w:outlineLvl w:val="2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При успешно завършване на 72 часовите проби на присъединявания обект на ТУ, посочен в Приложение №1 (за което ТУ представя на НПО протокол по т.3.9. от настоящия договор).</w:t>
      </w:r>
    </w:p>
    <w:p>
      <w:pPr>
        <w:pStyle w:val="ListParagraph"/>
        <w:numPr>
          <w:ilvl w:val="1"/>
          <w:numId w:val="5"/>
        </w:numPr>
        <w:tabs>
          <w:tab w:val="num" w:pos="142"/>
        </w:tabs>
        <w:spacing w:before="120" w:after="120"/>
        <w:ind w:left="0" w:firstLine="1"/>
        <w:contextualSpacing w:val="0"/>
        <w:jc w:val="both"/>
        <w:outlineLvl w:val="2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НПО има право да прекрати едностранно договора и да отстрани ТУ от пазара на електроенергия в следните случаи:</w:t>
      </w:r>
    </w:p>
    <w:p>
      <w:pPr>
        <w:pStyle w:val="ListParagraph"/>
        <w:numPr>
          <w:ilvl w:val="2"/>
          <w:numId w:val="5"/>
        </w:numPr>
        <w:tabs>
          <w:tab w:val="num" w:pos="851"/>
        </w:tabs>
        <w:spacing w:before="120" w:after="120"/>
        <w:ind w:hanging="713"/>
        <w:contextualSpacing w:val="0"/>
        <w:jc w:val="both"/>
        <w:outlineLvl w:val="2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При нарушаване от ТУ на условията на договора и ПТЕЕ, за което той е бил писмено предупреден.</w:t>
      </w:r>
    </w:p>
    <w:p>
      <w:pPr>
        <w:pStyle w:val="ListParagraph"/>
        <w:numPr>
          <w:ilvl w:val="2"/>
          <w:numId w:val="5"/>
        </w:numPr>
        <w:tabs>
          <w:tab w:val="num" w:pos="851"/>
        </w:tabs>
        <w:spacing w:before="120" w:after="120"/>
        <w:ind w:hanging="713"/>
        <w:contextualSpacing w:val="0"/>
        <w:jc w:val="both"/>
        <w:outlineLvl w:val="2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При неизплатени задължения на ТУ по отношение участието в пазара на електрическа енергия, както и при невнесен, невъзстановен или неактуализиран депозит.</w:t>
      </w:r>
    </w:p>
    <w:p>
      <w:pPr>
        <w:pStyle w:val="ListParagraph"/>
        <w:numPr>
          <w:ilvl w:val="2"/>
          <w:numId w:val="5"/>
        </w:numPr>
        <w:tabs>
          <w:tab w:val="num" w:pos="851"/>
        </w:tabs>
        <w:spacing w:before="120" w:after="120"/>
        <w:ind w:hanging="713"/>
        <w:contextualSpacing w:val="0"/>
        <w:jc w:val="both"/>
        <w:outlineLvl w:val="2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ТУ е обявен в несъстоятелност или е в процес на ликвидация.</w:t>
      </w:r>
    </w:p>
    <w:p>
      <w:pPr>
        <w:tabs>
          <w:tab w:val="left" w:pos="7738"/>
        </w:tabs>
        <w:spacing w:before="120"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pStyle w:val="Heading2"/>
      </w:pPr>
      <w:r>
        <w:br/>
        <w:t>Заключителни клаузи</w:t>
      </w:r>
    </w:p>
    <w:p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outlineLvl w:val="2"/>
        <w:rPr>
          <w:rFonts w:ascii="Arial" w:hAnsi="Arial" w:cs="Arial"/>
          <w:vanish/>
        </w:rPr>
      </w:pPr>
    </w:p>
    <w:p>
      <w:pPr>
        <w:pStyle w:val="ListParagraph"/>
        <w:numPr>
          <w:ilvl w:val="1"/>
          <w:numId w:val="5"/>
        </w:numPr>
        <w:tabs>
          <w:tab w:val="num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Изменение на клаузите на договора и неговите приложения в срока на действие на договора може да поиска всяка от страните. Измененията и допълненията трябва да бъдат само във формата на допълнителни споразумения, подписани от двете страни.</w:t>
      </w:r>
    </w:p>
    <w:p>
      <w:pPr>
        <w:pStyle w:val="ListParagraph"/>
        <w:numPr>
          <w:ilvl w:val="1"/>
          <w:numId w:val="5"/>
        </w:numPr>
        <w:tabs>
          <w:tab w:val="num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 w:cs="Arial"/>
        </w:rPr>
      </w:pPr>
      <w:r>
        <w:rPr>
          <w:rFonts w:ascii="Arial" w:hAnsi="Arial"/>
          <w:bCs/>
        </w:rPr>
        <w:t xml:space="preserve">Страните се съгласяват, всички спорове, породени от този договор или отнасящи се до него, включително спорове, отнасящи се до неговото тълкуване, недействителност, изпълнение или прекратяване, както и спорове за попълване празнота в договора или приспособяването му към нововъзникнали обстоятелства, както и противоречия, претенции или различия, произтичащи от или във връзка с настоящия договор, да се решават </w:t>
      </w:r>
      <w:r>
        <w:rPr>
          <w:rFonts w:ascii="Arial" w:hAnsi="Arial" w:cs="Arial"/>
          <w:bCs/>
          <w:lang w:val="ru-RU"/>
        </w:rPr>
        <w:t xml:space="preserve">от </w:t>
      </w:r>
      <w:r>
        <w:rPr>
          <w:rFonts w:ascii="Arial" w:hAnsi="Arial" w:cs="Arial"/>
          <w:bCs/>
          <w:lang w:val="be-BY"/>
        </w:rPr>
        <w:t>компетентния</w:t>
      </w:r>
      <w:r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be-BY"/>
        </w:rPr>
        <w:t>съд</w:t>
      </w:r>
      <w:r>
        <w:rPr>
          <w:rFonts w:ascii="Arial" w:hAnsi="Arial"/>
          <w:bCs/>
        </w:rPr>
        <w:t xml:space="preserve"> в гр. София, съгласно разпоредбите на действащото българско законодателство</w:t>
      </w:r>
      <w:r>
        <w:rPr>
          <w:rFonts w:ascii="Arial" w:hAnsi="Arial" w:cs="Arial"/>
          <w:bCs/>
          <w:noProof/>
          <w:sz w:val="24"/>
          <w:szCs w:val="24"/>
          <w:lang w:val="ru-RU"/>
        </w:rPr>
        <w:t>.</w:t>
      </w:r>
    </w:p>
    <w:p>
      <w:pPr>
        <w:pStyle w:val="ListParagraph"/>
        <w:numPr>
          <w:ilvl w:val="1"/>
          <w:numId w:val="5"/>
        </w:numPr>
        <w:tabs>
          <w:tab w:val="num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 w:cs="Arial"/>
        </w:rPr>
      </w:pPr>
      <w:r>
        <w:rPr>
          <w:rFonts w:ascii="Arial" w:hAnsi="Arial"/>
          <w:bCs/>
        </w:rPr>
        <w:t>Когато документацията и информацията по този договор съдържат данни, представляващи класифицирана информация, се прилага редът, предвиден в Закона за защита на класифицираната информация.</w:t>
      </w:r>
    </w:p>
    <w:p>
      <w:pPr>
        <w:pStyle w:val="ListParagraph"/>
        <w:spacing w:before="120" w:after="120"/>
        <w:ind w:left="0"/>
        <w:contextualSpacing w:val="0"/>
        <w:jc w:val="both"/>
        <w:outlineLvl w:val="2"/>
        <w:rPr>
          <w:rFonts w:ascii="Arial" w:hAnsi="Arial" w:cs="Arial"/>
        </w:rPr>
        <w:sectPr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6" w:bottom="851" w:left="1418" w:header="709" w:footer="720" w:gutter="0"/>
          <w:cols w:space="708"/>
          <w:docGrid w:linePitch="360"/>
        </w:sectPr>
      </w:pPr>
    </w:p>
    <w:p>
      <w:pPr>
        <w:pStyle w:val="Heading2"/>
      </w:pPr>
      <w:r>
        <w:lastRenderedPageBreak/>
        <w:br/>
        <w:t>Банкови сметки на страните</w:t>
      </w:r>
    </w:p>
    <w:p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outlineLvl w:val="2"/>
        <w:rPr>
          <w:rFonts w:ascii="Arial" w:hAnsi="Arial"/>
          <w:bCs/>
          <w:vanish/>
        </w:rPr>
      </w:pPr>
    </w:p>
    <w:p>
      <w:pPr>
        <w:pStyle w:val="ListParagraph"/>
        <w:numPr>
          <w:ilvl w:val="1"/>
          <w:numId w:val="5"/>
        </w:numPr>
        <w:tabs>
          <w:tab w:val="num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Името на банките, адресите и банковите сметки на НПО, от които и при които могат да се извършват плащания по този договор са посочени в сайта и във фактурите издавани от НПО.</w:t>
      </w:r>
    </w:p>
    <w:p>
      <w:pPr>
        <w:pStyle w:val="ListParagraph"/>
        <w:numPr>
          <w:ilvl w:val="1"/>
          <w:numId w:val="5"/>
        </w:numPr>
        <w:tabs>
          <w:tab w:val="num" w:pos="993"/>
        </w:tabs>
        <w:spacing w:before="120" w:after="120"/>
        <w:ind w:left="0" w:firstLine="0"/>
        <w:contextualSpacing w:val="0"/>
        <w:jc w:val="both"/>
        <w:outlineLvl w:val="2"/>
        <w:rPr>
          <w:rFonts w:ascii="Arial" w:hAnsi="Arial"/>
          <w:bCs/>
        </w:rPr>
      </w:pPr>
      <w:r>
        <w:rPr>
          <w:rFonts w:ascii="Arial" w:hAnsi="Arial"/>
          <w:bCs/>
        </w:rPr>
        <w:t>Име на банка, адрес и банковата сметка на ТУ, от която и при която ще се извършват плащания по този договор:</w:t>
      </w:r>
    </w:p>
    <w:p>
      <w:pPr>
        <w:spacing w:before="120" w:after="120"/>
        <w:jc w:val="both"/>
        <w:outlineLvl w:val="2"/>
        <w:rPr>
          <w:rFonts w:ascii="Arial" w:hAnsi="Arial"/>
          <w:bCs/>
          <w:lang w:val="en-US"/>
        </w:rPr>
      </w:pPr>
      <w:r>
        <w:rPr>
          <w:rFonts w:ascii="Arial" w:hAnsi="Arial"/>
          <w:bCs/>
        </w:rPr>
        <w:t>………………………….…………………….……………………………….…………………….……</w:t>
      </w:r>
      <w:r>
        <w:rPr>
          <w:rFonts w:ascii="Arial" w:hAnsi="Arial"/>
          <w:bCs/>
          <w:lang w:val="ru-RU"/>
        </w:rPr>
        <w:t>……………………………………………………………………………………............…………</w:t>
      </w:r>
      <w:bookmarkEnd w:id="0"/>
      <w:r>
        <w:rPr>
          <w:rFonts w:ascii="Arial" w:hAnsi="Arial"/>
          <w:bCs/>
          <w:lang w:val="en-US"/>
        </w:rPr>
        <w:t>….</w:t>
      </w:r>
    </w:p>
    <w:p>
      <w:pPr>
        <w:spacing w:before="240" w:after="120"/>
        <w:jc w:val="both"/>
        <w:rPr>
          <w:rFonts w:ascii="Arial" w:hAnsi="Arial"/>
          <w:bCs/>
        </w:rPr>
      </w:pPr>
    </w:p>
    <w:p>
      <w:pPr>
        <w:spacing w:before="240" w:after="1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Неразделна част от Договора са:</w:t>
      </w:r>
    </w:p>
    <w:p>
      <w:pPr>
        <w:tabs>
          <w:tab w:val="left" w:pos="1985"/>
        </w:tabs>
        <w:spacing w:before="60" w:after="60"/>
        <w:ind w:left="1985" w:hanging="1985"/>
        <w:jc w:val="both"/>
        <w:rPr>
          <w:rFonts w:ascii="Arial" w:hAnsi="Arial"/>
          <w:bCs/>
          <w:szCs w:val="18"/>
        </w:rPr>
      </w:pPr>
      <w:r>
        <w:rPr>
          <w:rFonts w:ascii="Arial" w:hAnsi="Arial"/>
          <w:bCs/>
          <w:szCs w:val="18"/>
        </w:rPr>
        <w:t>Приложение №1</w:t>
      </w:r>
      <w:r>
        <w:rPr>
          <w:rFonts w:ascii="Arial" w:hAnsi="Arial"/>
          <w:bCs/>
          <w:szCs w:val="18"/>
        </w:rPr>
        <w:tab/>
        <w:t xml:space="preserve">Заявление за регистрация </w:t>
      </w:r>
    </w:p>
    <w:p>
      <w:pPr>
        <w:tabs>
          <w:tab w:val="left" w:pos="1985"/>
        </w:tabs>
        <w:spacing w:before="60" w:after="60"/>
        <w:ind w:left="1985" w:hanging="1985"/>
        <w:jc w:val="both"/>
        <w:rPr>
          <w:rFonts w:ascii="Arial" w:hAnsi="Arial"/>
          <w:bCs/>
          <w:szCs w:val="18"/>
        </w:rPr>
      </w:pPr>
      <w:r>
        <w:rPr>
          <w:rFonts w:ascii="Arial" w:hAnsi="Arial"/>
          <w:bCs/>
          <w:szCs w:val="18"/>
        </w:rPr>
        <w:t>Приложение №2</w:t>
      </w:r>
      <w:r>
        <w:rPr>
          <w:rFonts w:ascii="Arial" w:hAnsi="Arial"/>
          <w:bCs/>
          <w:szCs w:val="18"/>
        </w:rPr>
        <w:tab/>
        <w:t>Списък на средствата за търговско измерване на електрическа енергия на обектите на търговския участник.</w:t>
      </w:r>
    </w:p>
    <w:p>
      <w:pPr>
        <w:tabs>
          <w:tab w:val="left" w:pos="1985"/>
        </w:tabs>
        <w:spacing w:before="60" w:after="60"/>
        <w:ind w:left="1985" w:hanging="1985"/>
        <w:jc w:val="both"/>
        <w:rPr>
          <w:rFonts w:ascii="Arial" w:hAnsi="Arial"/>
          <w:bCs/>
          <w:szCs w:val="18"/>
          <w:lang w:val="ru-RU"/>
        </w:rPr>
      </w:pPr>
      <w:r>
        <w:rPr>
          <w:rFonts w:ascii="Arial" w:hAnsi="Arial"/>
          <w:bCs/>
          <w:szCs w:val="18"/>
        </w:rPr>
        <w:t>Приложение №3</w:t>
      </w:r>
      <w:r>
        <w:rPr>
          <w:rFonts w:ascii="Arial" w:hAnsi="Arial"/>
          <w:bCs/>
          <w:szCs w:val="18"/>
        </w:rPr>
        <w:tab/>
        <w:t>Известие за приемане на заявлението за регистрация</w:t>
      </w:r>
      <w:r>
        <w:rPr>
          <w:rFonts w:ascii="Arial" w:hAnsi="Arial"/>
          <w:bCs/>
          <w:szCs w:val="18"/>
          <w:lang w:val="ru-RU"/>
        </w:rPr>
        <w:t>.</w:t>
      </w:r>
    </w:p>
    <w:p>
      <w:pPr>
        <w:pStyle w:val="Caption"/>
      </w:pPr>
      <w:r>
        <w:t>Приложение №4</w:t>
      </w:r>
      <w:r>
        <w:tab/>
        <w:t>Декларация – съгласие за обработване на лични данни.</w:t>
      </w:r>
    </w:p>
    <w:p>
      <w:pPr>
        <w:tabs>
          <w:tab w:val="left" w:pos="1985"/>
        </w:tabs>
        <w:spacing w:before="60" w:after="60"/>
        <w:ind w:left="1985" w:hanging="1985"/>
        <w:jc w:val="both"/>
        <w:rPr>
          <w:rFonts w:ascii="Arial" w:hAnsi="Arial"/>
          <w:bCs/>
          <w:szCs w:val="18"/>
          <w:lang w:val="ru-RU"/>
        </w:rPr>
      </w:pPr>
    </w:p>
    <w:p>
      <w:pPr>
        <w:tabs>
          <w:tab w:val="left" w:pos="1985"/>
        </w:tabs>
        <w:spacing w:before="60" w:after="60"/>
        <w:ind w:left="1985" w:hanging="1985"/>
        <w:jc w:val="both"/>
        <w:rPr>
          <w:rFonts w:ascii="Arial" w:hAnsi="Arial"/>
          <w:bCs/>
          <w:szCs w:val="18"/>
          <w:lang w:val="ru-RU"/>
        </w:rPr>
      </w:pPr>
    </w:p>
    <w:p>
      <w:pPr>
        <w:tabs>
          <w:tab w:val="left" w:pos="5197"/>
        </w:tabs>
        <w:spacing w:before="60" w:after="60"/>
        <w:ind w:left="1985" w:hanging="1985"/>
        <w:jc w:val="both"/>
        <w:rPr>
          <w:rFonts w:ascii="Arial" w:hAnsi="Arial"/>
          <w:bCs/>
          <w:szCs w:val="18"/>
          <w:lang w:val="ru-RU"/>
        </w:rPr>
      </w:pPr>
      <w:r>
        <w:rPr>
          <w:rFonts w:ascii="Arial" w:hAnsi="Arial"/>
          <w:bCs/>
          <w:szCs w:val="18"/>
          <w:lang w:val="ru-RU"/>
        </w:rPr>
        <w:tab/>
      </w:r>
      <w:r>
        <w:rPr>
          <w:rFonts w:ascii="Arial" w:hAnsi="Arial"/>
          <w:bCs/>
          <w:szCs w:val="18"/>
          <w:lang w:val="ru-RU"/>
        </w:rPr>
        <w:tab/>
      </w:r>
    </w:p>
    <w:p>
      <w:pPr>
        <w:spacing w:before="240" w:after="1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Този договор е подписан в два еднообразни екземпляра - по един за всяка от страните.</w:t>
      </w:r>
    </w:p>
    <w:p>
      <w:pPr>
        <w:tabs>
          <w:tab w:val="left" w:pos="5670"/>
        </w:tabs>
        <w:spacing w:before="7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ЗА НПО</w:t>
      </w:r>
      <w:r>
        <w:rPr>
          <w:rFonts w:ascii="Arial" w:hAnsi="Arial"/>
          <w:b/>
        </w:rPr>
        <w:tab/>
        <w:t>ЗА ТЪРГОВСКИЯ УЧАСТНИК</w:t>
      </w:r>
    </w:p>
    <w:p>
      <w:pPr>
        <w:tabs>
          <w:tab w:val="left" w:pos="5670"/>
        </w:tabs>
        <w:spacing w:before="360" w:after="40"/>
        <w:jc w:val="both"/>
        <w:rPr>
          <w:rFonts w:ascii="Arial" w:hAnsi="Arial"/>
        </w:rPr>
      </w:pPr>
      <w:r>
        <w:rPr>
          <w:rFonts w:ascii="Arial" w:hAnsi="Arial"/>
        </w:rPr>
        <w:t>………………………</w:t>
      </w:r>
      <w:r>
        <w:rPr>
          <w:rFonts w:ascii="Arial" w:hAnsi="Arial"/>
        </w:rPr>
        <w:tab/>
        <w:t>………………………</w:t>
      </w:r>
    </w:p>
    <w:p>
      <w:pPr>
        <w:tabs>
          <w:tab w:val="left" w:pos="5670"/>
        </w:tabs>
        <w:spacing w:before="40" w:after="40"/>
        <w:jc w:val="both"/>
        <w:rPr>
          <w:rFonts w:ascii="Arial" w:hAnsi="Arial"/>
          <w:lang w:val="ru-RU"/>
        </w:rPr>
      </w:pPr>
      <w:r>
        <w:rPr>
          <w:rFonts w:ascii="Arial" w:hAnsi="Arial"/>
        </w:rPr>
        <w:t>АНГЕЛИН ЦАЧЕВ</w:t>
      </w:r>
      <w:r>
        <w:rPr>
          <w:rFonts w:ascii="Arial" w:hAnsi="Arial"/>
        </w:rPr>
        <w:tab/>
        <w:t>……………………….</w:t>
      </w:r>
    </w:p>
    <w:p>
      <w:pPr>
        <w:tabs>
          <w:tab w:val="left" w:pos="5670"/>
        </w:tabs>
        <w:spacing w:before="40" w:after="40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>ИЗПЪЛНИТЕЛЕН ДИРЕКТОР</w:t>
      </w:r>
      <w:r>
        <w:rPr>
          <w:rFonts w:ascii="Arial" w:hAnsi="Arial"/>
        </w:rPr>
        <w:tab/>
        <w:t>……………………….</w:t>
      </w:r>
    </w:p>
    <w:p>
      <w:pPr>
        <w:spacing w:after="0" w:line="240" w:lineRule="auto"/>
        <w:rPr>
          <w:rFonts w:ascii="Arial" w:hAnsi="Arial"/>
        </w:rPr>
      </w:pPr>
    </w:p>
    <w:p>
      <w:pPr>
        <w:spacing w:after="0" w:line="240" w:lineRule="auto"/>
        <w:rPr>
          <w:rFonts w:ascii="Arial" w:hAnsi="Arial"/>
        </w:rPr>
        <w:sectPr>
          <w:pgSz w:w="11906" w:h="16838"/>
          <w:pgMar w:top="851" w:right="1416" w:bottom="851" w:left="1418" w:header="709" w:footer="720" w:gutter="0"/>
          <w:cols w:space="708"/>
          <w:docGrid w:linePitch="360"/>
        </w:sectPr>
      </w:pPr>
      <w:bookmarkStart w:id="12" w:name="_GoBack"/>
      <w:bookmarkEnd w:id="12"/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ДЕКЛАРАЦИЯ – СЪГЛАСИЕ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 ОБРАБОТВАНЕ НА ЛИЧНИ ДАННИ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Долуподписаният/ата………………………………………………………………………..…………………………………….с ЕГН…………………., лична карта №……………………….., в качеството си на………………………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......................................................................................................., с ЕИК ............................. в Търговския регистър при Агенция по вписванията, със седалище и адрес на управление:.................................................................................................................................,</w:t>
      </w:r>
    </w:p>
    <w:p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И Р А М   Ч Е: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>
      <w:pPr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Давам изричното си съгласие в съответствие с изискванията на ч</w:t>
      </w:r>
      <w:r>
        <w:rPr>
          <w:rFonts w:ascii="Times New Roman" w:hAnsi="Times New Roman"/>
          <w:sz w:val="24"/>
          <w:szCs w:val="24"/>
          <w:shd w:val="clear" w:color="auto" w:fill="FFFFFF"/>
        </w:rPr>
        <w:t>л. 6 и чл. 13 от Регламент (ЕС) 2016/679 на Европейския парламент и на съвета от 27.04.2016 г. относно защита на личните данни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„Електроенергиен системен оператор” ЕАД </w:t>
      </w:r>
      <w:r>
        <w:rPr>
          <w:rFonts w:ascii="Times New Roman" w:hAnsi="Times New Roman"/>
          <w:bCs/>
          <w:sz w:val="24"/>
          <w:szCs w:val="24"/>
        </w:rPr>
        <w:t>(ЕСО ЕАД),</w:t>
      </w:r>
      <w:r>
        <w:rPr>
          <w:rFonts w:ascii="Times New Roman" w:hAnsi="Times New Roman"/>
          <w:sz w:val="24"/>
          <w:szCs w:val="24"/>
        </w:rPr>
        <w:t xml:space="preserve"> регистрирано в Търговския регистър на Агенцията по вписванията, ЕИК 175201304, със седалище и адрес на управление: гр. София 1618, </w:t>
      </w:r>
      <w:r>
        <w:rPr>
          <w:rFonts w:ascii="Times New Roman" w:hAnsi="Times New Roman"/>
          <w:color w:val="000000"/>
          <w:sz w:val="24"/>
          <w:szCs w:val="24"/>
        </w:rPr>
        <w:t xml:space="preserve">бул. „Цар Борис III“ № 201, </w:t>
      </w:r>
      <w:r>
        <w:rPr>
          <w:rFonts w:ascii="Times New Roman" w:hAnsi="Times New Roman"/>
          <w:sz w:val="24"/>
          <w:szCs w:val="24"/>
        </w:rPr>
        <w:t xml:space="preserve">Столична община – </w:t>
      </w:r>
      <w:r>
        <w:rPr>
          <w:rFonts w:ascii="Times New Roman" w:hAnsi="Times New Roman"/>
          <w:color w:val="000000"/>
          <w:sz w:val="24"/>
          <w:szCs w:val="24"/>
        </w:rPr>
        <w:t>район Витоша</w:t>
      </w:r>
      <w:r>
        <w:rPr>
          <w:rFonts w:ascii="Times New Roman" w:hAnsi="Times New Roman"/>
          <w:sz w:val="24"/>
          <w:szCs w:val="24"/>
        </w:rPr>
        <w:t xml:space="preserve">, в качеството му на Администратор на лични данни, да обработва моите лични данни по всички допустими от приложимото законодателство начини, с автоматични или други средства, като съм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информиран своевременно и изчерпателно от посочения администратор за логиката на всяко автоматизирано обработване на личните ми данни, в случай на наличие на такова.</w:t>
      </w:r>
      <w:r>
        <w:rPr>
          <w:rFonts w:ascii="Times New Roman" w:hAnsi="Times New Roman"/>
          <w:sz w:val="24"/>
          <w:szCs w:val="24"/>
        </w:rPr>
        <w:t xml:space="preserve"> Съгласието се отнася както за предоставените пряко от мен мои лични данни, така и за такива, събрани и/или получени от ЕСО ЕАД в изпълнение на законови и/или договорни задължения на Дружеството или от публично достъпни регистри с информация. </w:t>
      </w:r>
    </w:p>
    <w:p>
      <w:pPr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Декларирам, че съм запознат с категориите лични данни, които ЕСО ЕАД обработва за мен, а именно лични данни относно физическа идентичност: три имена, единен граждански номер, идентификационен номер на документ за самоличност, имейл адрес, телефон, месторабота.</w:t>
      </w:r>
    </w:p>
    <w:p>
      <w:pPr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Давам изричното си съгласие личните ми данни да бъдат обработвани от ЕСО ЕАД за целите на договора за балансиране.</w:t>
      </w:r>
    </w:p>
    <w:p>
      <w:pPr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Уведомен съм, че предоставените от мен лични данни могат да бъдат предоставени и/или разкривани от ЕСО ЕАД, когато това предоставяне и/или разкриване се изисква по закон и/или при необходимост на трети лица – държавни и др. органи, институции и ведомства, при спазване на приложимото законодателство за защита на личните данни.</w:t>
      </w:r>
    </w:p>
    <w:p>
      <w:pPr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Декларирам, че съм съгласен предоставените от мен лични данни да се съхраняват в законоустановените срокове, но не повече от 20 (двадесет) години.</w:t>
      </w:r>
    </w:p>
    <w:p>
      <w:pPr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Запознат съм с правото ми на възражение срещу обработването на личните ми данни по чл. 21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Регламент (ЕС) 2016/679 на Европейския парламент и на съвета от 27.04.2016 г. относно защита на личните данни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чрез изпращане на писмено заявление, подписано от мен, на адрес: гр. София 1618,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бул. „Цар Борис III“ № 201,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Столична община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район Витоша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или на имейл адрес: </w:t>
      </w:r>
      <w:hyperlink r:id="rId12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bg-BG"/>
          </w:rPr>
          <w:t>eso@eso.bg</w:t>
        </w:r>
      </w:hyperlink>
      <w:r>
        <w:rPr>
          <w:rFonts w:ascii="Times New Roman" w:eastAsia="Times New Roman" w:hAnsi="Times New Roman"/>
          <w:sz w:val="24"/>
          <w:szCs w:val="24"/>
          <w:lang w:val="en-US" w:eastAsia="bg-BG"/>
        </w:rPr>
        <w:t>.</w:t>
      </w:r>
    </w:p>
    <w:p>
      <w:pPr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Запознат съм с правото си да променя или оттегля съгласието си личните ми данни или част от тях да бъдат обработвани за целите на сключения договор, както и да бъдат предоставяни на трети лица с тази цел, чрез изпращане на писмено заявление, подписано от мен, на адрес: гр. София 1618,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бул. „Цар Борис III“ № 201,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Столична община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район Витоша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или имейл адрес: </w:t>
      </w:r>
      <w:hyperlink r:id="rId13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bg-BG"/>
          </w:rPr>
          <w:t>eso@eso.bg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Същевременно, изпълнението на сключения с ЕСО ЕАД договор по какъвто и да е начин не е поставен в зависимост от наличието на съгласие. </w:t>
      </w:r>
    </w:p>
    <w:p>
      <w:pPr>
        <w:numPr>
          <w:ilvl w:val="0"/>
          <w:numId w:val="13"/>
        </w:numPr>
        <w:tabs>
          <w:tab w:val="left" w:pos="709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Декларирам, че цялата предоставена от мен информация е пълна и вярна, както и че предоставям доброволно личните си данни и съм съгласен всички и всякакви мои лични данни да бъдат обработвани, съобразно предвиденото в настоящата декларация, за целите, изрично посочени в настоящата декларация.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>
      <w:pPr>
        <w:spacing w:after="0" w:line="240" w:lineRule="auto"/>
        <w:jc w:val="both"/>
        <w:rPr>
          <w:rFonts w:ascii="Arial" w:hAnsi="Arial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Дата:.………….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                    Подпис:……………………</w:t>
      </w:r>
    </w:p>
    <w:sectPr>
      <w:pgSz w:w="11906" w:h="16838"/>
      <w:pgMar w:top="851" w:right="707" w:bottom="851" w:left="709" w:header="709" w:footer="29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36A5A3" w15:done="0"/>
  <w15:commentEx w15:paraId="567D0B9F" w15:done="0"/>
  <w15:commentEx w15:paraId="1633AF73" w15:done="0"/>
  <w15:commentEx w15:paraId="57DE9C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  <w:p/>
  </w:endnote>
  <w:endnote w:type="continuationSeparator" w:id="0">
    <w:p>
      <w:pPr>
        <w:spacing w:after="0" w:line="240" w:lineRule="auto"/>
      </w:pPr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536"/>
        <w:tab w:val="clear" w:pos="9072"/>
      </w:tabs>
      <w:jc w:val="right"/>
      <w:rPr>
        <w:i/>
        <w:lang w:val="en-US"/>
      </w:rPr>
    </w:pPr>
  </w:p>
  <w:p>
    <w:pPr>
      <w:pStyle w:val="Footer"/>
      <w:tabs>
        <w:tab w:val="clear" w:pos="4536"/>
        <w:tab w:val="clear" w:pos="9072"/>
      </w:tabs>
      <w:ind w:left="709"/>
      <w:jc w:val="center"/>
      <w:rPr>
        <w:i/>
      </w:rPr>
    </w:pPr>
    <w:r>
      <w:rPr>
        <w:i/>
      </w:rPr>
      <w:t>Договор за балансиране при провеждане</w:t>
    </w:r>
    <w:r>
      <w:rPr>
        <w:i/>
        <w:lang w:val="en-US"/>
      </w:rPr>
      <w:t xml:space="preserve"> </w:t>
    </w:r>
    <w:r>
      <w:rPr>
        <w:i/>
      </w:rPr>
      <w:t xml:space="preserve">на 72 часови проби при </w:t>
    </w:r>
  </w:p>
  <w:p>
    <w:pPr>
      <w:pStyle w:val="Footer"/>
      <w:tabs>
        <w:tab w:val="clear" w:pos="4536"/>
        <w:tab w:val="clear" w:pos="9072"/>
      </w:tabs>
      <w:ind w:left="709" w:firstLine="709"/>
      <w:jc w:val="right"/>
      <w:rPr>
        <w:i/>
      </w:rPr>
    </w:pPr>
    <w:r>
      <w:rPr>
        <w:i/>
      </w:rPr>
      <w:t>експлоатационни условия с потребител/производител</w:t>
    </w:r>
    <w:r>
      <w:rPr>
        <w:i/>
        <w:lang w:val="en-US"/>
      </w:rPr>
      <w:tab/>
    </w:r>
    <w:r>
      <w:rPr>
        <w:i/>
        <w:lang w:val="en-US"/>
      </w:rPr>
      <w:tab/>
    </w:r>
    <w:r>
      <w:tab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  <w:r>
      <w:rPr>
        <w:lang w:val="en-US"/>
      </w:rPr>
      <w:t>/</w:t>
    </w: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NUMPAGES   \* MERGEFORMAT </w:instrText>
    </w:r>
    <w:r>
      <w:rPr>
        <w:noProof/>
        <w:lang w:val="en-US"/>
      </w:rPr>
      <w:fldChar w:fldCharType="separate"/>
    </w:r>
    <w:r>
      <w:rPr>
        <w:noProof/>
        <w:lang w:val="en-US"/>
      </w:rPr>
      <w:t>11</w:t>
    </w:r>
    <w:r>
      <w:rPr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536"/>
        <w:tab w:val="clear" w:pos="9072"/>
      </w:tabs>
      <w:jc w:val="center"/>
      <w:rPr>
        <w:i/>
      </w:rPr>
    </w:pPr>
  </w:p>
  <w:p>
    <w:pPr>
      <w:pStyle w:val="Footer"/>
      <w:tabs>
        <w:tab w:val="clear" w:pos="4536"/>
        <w:tab w:val="clear" w:pos="9072"/>
      </w:tabs>
      <w:jc w:val="center"/>
    </w:pPr>
    <w:r>
      <w:rPr>
        <w:i/>
      </w:rPr>
      <w:t>Договор за балансиране при провеждане на 72-часови проби с потребител/производител</w:t>
    </w:r>
    <w:r>
      <w:rPr>
        <w:i/>
      </w:rPr>
      <w:tab/>
    </w:r>
    <w:r>
      <w:tab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lang w:val="en-US"/>
      </w:rPr>
      <w:t>/</w:t>
    </w: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NUMPAGES   \* MERGEFORMAT </w:instrText>
    </w:r>
    <w:r>
      <w:rPr>
        <w:noProof/>
        <w:lang w:val="en-US"/>
      </w:rPr>
      <w:fldChar w:fldCharType="separate"/>
    </w:r>
    <w:r>
      <w:rPr>
        <w:noProof/>
        <w:lang w:val="en-US"/>
      </w:rPr>
      <w:t>10</w:t>
    </w:r>
    <w:r>
      <w:rPr>
        <w:noProof/>
        <w:lang w:val="en-US"/>
      </w:rP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  <w:p/>
  </w:footnote>
  <w:footnote w:type="continuationSeparator" w:id="0">
    <w:p>
      <w:pPr>
        <w:spacing w:after="0" w:line="240" w:lineRule="auto"/>
      </w:pPr>
      <w:r>
        <w:continuationSeparator/>
      </w:r>
    </w:p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</w:tabs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A0A"/>
    <w:multiLevelType w:val="multilevel"/>
    <w:tmpl w:val="3A5EA1CA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Раздел %2"/>
      <w:lvlJc w:val="center"/>
      <w:pPr>
        <w:ind w:firstLine="567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1A6E3264"/>
    <w:multiLevelType w:val="hybridMultilevel"/>
    <w:tmpl w:val="E454FCA2"/>
    <w:lvl w:ilvl="0" w:tplc="BA247B7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413812"/>
    <w:multiLevelType w:val="multilevel"/>
    <w:tmpl w:val="82E64F2E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B8E4216"/>
    <w:multiLevelType w:val="hybridMultilevel"/>
    <w:tmpl w:val="9B4E97FC"/>
    <w:lvl w:ilvl="0" w:tplc="39CA4DD8">
      <w:start w:val="1"/>
      <w:numFmt w:val="decimal"/>
      <w:pStyle w:val="Heading2"/>
      <w:lvlText w:val="Раздел %1"/>
      <w:lvlJc w:val="center"/>
      <w:pPr>
        <w:ind w:left="720" w:hanging="360"/>
      </w:pPr>
      <w:rPr>
        <w:rFonts w:cs="Times New Roman"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BC4150"/>
    <w:multiLevelType w:val="hybridMultilevel"/>
    <w:tmpl w:val="65F49F8C"/>
    <w:lvl w:ilvl="0" w:tplc="FC62030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6E0A14"/>
    <w:multiLevelType w:val="hybridMultilevel"/>
    <w:tmpl w:val="97565F38"/>
    <w:lvl w:ilvl="0" w:tplc="FC62030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DB5596"/>
    <w:multiLevelType w:val="hybridMultilevel"/>
    <w:tmpl w:val="C1FA3034"/>
    <w:lvl w:ilvl="0" w:tplc="9A7AB0B2">
      <w:start w:val="1"/>
      <w:numFmt w:val="decimal"/>
      <w:lvlText w:val="Раздел %1"/>
      <w:lvlJc w:val="center"/>
      <w:pPr>
        <w:ind w:left="128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5F366DC0"/>
    <w:multiLevelType w:val="hybridMultilevel"/>
    <w:tmpl w:val="4B6A894C"/>
    <w:lvl w:ilvl="0" w:tplc="01C2AC4E">
      <w:start w:val="1"/>
      <w:numFmt w:val="decimal"/>
      <w:lvlText w:val="Раздел 1%1"/>
      <w:lvlJc w:val="center"/>
      <w:pPr>
        <w:ind w:left="16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8">
    <w:nsid w:val="62092E96"/>
    <w:multiLevelType w:val="multilevel"/>
    <w:tmpl w:val="AE0802A8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Раздел %2"/>
      <w:lvlJc w:val="center"/>
      <w:pPr>
        <w:ind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851"/>
        </w:tabs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69052106"/>
    <w:multiLevelType w:val="hybridMultilevel"/>
    <w:tmpl w:val="A672DDF2"/>
    <w:lvl w:ilvl="0" w:tplc="F9469B5A">
      <w:start w:val="1"/>
      <w:numFmt w:val="decimal"/>
      <w:lvlText w:val="%1."/>
      <w:lvlJc w:val="left"/>
      <w:pPr>
        <w:ind w:left="153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258" w:hanging="360"/>
      </w:pPr>
    </w:lvl>
    <w:lvl w:ilvl="2" w:tplc="0402001B" w:tentative="1">
      <w:start w:val="1"/>
      <w:numFmt w:val="lowerRoman"/>
      <w:lvlText w:val="%3."/>
      <w:lvlJc w:val="right"/>
      <w:pPr>
        <w:ind w:left="2978" w:hanging="180"/>
      </w:pPr>
    </w:lvl>
    <w:lvl w:ilvl="3" w:tplc="0402000F" w:tentative="1">
      <w:start w:val="1"/>
      <w:numFmt w:val="decimal"/>
      <w:lvlText w:val="%4."/>
      <w:lvlJc w:val="left"/>
      <w:pPr>
        <w:ind w:left="3698" w:hanging="360"/>
      </w:pPr>
    </w:lvl>
    <w:lvl w:ilvl="4" w:tplc="04020019" w:tentative="1">
      <w:start w:val="1"/>
      <w:numFmt w:val="lowerLetter"/>
      <w:lvlText w:val="%5."/>
      <w:lvlJc w:val="left"/>
      <w:pPr>
        <w:ind w:left="4418" w:hanging="360"/>
      </w:pPr>
    </w:lvl>
    <w:lvl w:ilvl="5" w:tplc="0402001B" w:tentative="1">
      <w:start w:val="1"/>
      <w:numFmt w:val="lowerRoman"/>
      <w:lvlText w:val="%6."/>
      <w:lvlJc w:val="right"/>
      <w:pPr>
        <w:ind w:left="5138" w:hanging="180"/>
      </w:pPr>
    </w:lvl>
    <w:lvl w:ilvl="6" w:tplc="0402000F" w:tentative="1">
      <w:start w:val="1"/>
      <w:numFmt w:val="decimal"/>
      <w:lvlText w:val="%7."/>
      <w:lvlJc w:val="left"/>
      <w:pPr>
        <w:ind w:left="5858" w:hanging="360"/>
      </w:pPr>
    </w:lvl>
    <w:lvl w:ilvl="7" w:tplc="04020019" w:tentative="1">
      <w:start w:val="1"/>
      <w:numFmt w:val="lowerLetter"/>
      <w:lvlText w:val="%8."/>
      <w:lvlJc w:val="left"/>
      <w:pPr>
        <w:ind w:left="6578" w:hanging="360"/>
      </w:pPr>
    </w:lvl>
    <w:lvl w:ilvl="8" w:tplc="0402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0">
    <w:nsid w:val="6D0818B2"/>
    <w:multiLevelType w:val="hybridMultilevel"/>
    <w:tmpl w:val="3ECEEE7C"/>
    <w:lvl w:ilvl="0" w:tplc="01C2AC4E">
      <w:start w:val="1"/>
      <w:numFmt w:val="decimal"/>
      <w:lvlText w:val="Раздел 1%1"/>
      <w:lvlJc w:val="center"/>
      <w:pPr>
        <w:ind w:left="16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1">
    <w:nsid w:val="755B65DC"/>
    <w:multiLevelType w:val="multilevel"/>
    <w:tmpl w:val="F9DC36DA"/>
    <w:lvl w:ilvl="0">
      <w:start w:val="1"/>
      <w:numFmt w:val="decimal"/>
      <w:lvlText w:val="%1"/>
      <w:lvlJc w:val="left"/>
      <w:pPr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C214E8F"/>
    <w:multiLevelType w:val="multilevel"/>
    <w:tmpl w:val="2C5A0686"/>
    <w:lvl w:ilvl="0">
      <w:start w:val="9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ра Георгиева Петкова">
    <w15:presenceInfo w15:providerId="AD" w15:userId="S-1-5-21-507921405-688789844-682003330-20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TrackMove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pPr>
      <w:keepNext/>
      <w:keepLines/>
      <w:numPr>
        <w:numId w:val="6"/>
      </w:numPr>
      <w:spacing w:before="240" w:after="120" w:line="240" w:lineRule="auto"/>
      <w:ind w:left="0" w:firstLine="0"/>
      <w:contextualSpacing/>
      <w:jc w:val="center"/>
      <w:outlineLvl w:val="1"/>
    </w:pPr>
    <w:rPr>
      <w:rFonts w:ascii="Arial" w:eastAsia="Times New Roman" w:hAnsi="Arial"/>
      <w:b/>
      <w:bCs/>
      <w:lang w:eastAsia="bg-BG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pPr>
      <w:spacing w:before="120" w:after="120"/>
      <w:jc w:val="both"/>
      <w:outlineLvl w:val="2"/>
    </w:pPr>
    <w:rPr>
      <w:rFonts w:ascii="Arial" w:eastAsia="Times New Roman" w:hAnsi="Arial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Lines/>
      <w:spacing w:before="120" w:after="120"/>
      <w:jc w:val="both"/>
      <w:outlineLvl w:val="3"/>
    </w:pPr>
    <w:rPr>
      <w:rFonts w:ascii="Arial" w:eastAsia="Times New Roman" w:hAnsi="Arial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Lines/>
      <w:spacing w:before="60" w:after="60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Lines/>
      <w:spacing w:before="120" w:after="120"/>
      <w:jc w:val="both"/>
      <w:outlineLvl w:val="5"/>
    </w:pPr>
    <w:rPr>
      <w:rFonts w:ascii="Arial" w:eastAsia="Times New Roman" w:hAnsi="Ari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Pr>
      <w:rFonts w:ascii="Arial" w:eastAsia="Times New Roman" w:hAnsi="Arial"/>
      <w:b/>
      <w:bCs/>
      <w:sz w:val="22"/>
      <w:szCs w:val="22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Times New Roman"/>
      <w:bCs/>
    </w:rPr>
  </w:style>
  <w:style w:type="character" w:customStyle="1" w:styleId="Heading4Char">
    <w:name w:val="Heading 4 Char"/>
    <w:link w:val="Heading4"/>
    <w:uiPriority w:val="99"/>
    <w:locked/>
    <w:rPr>
      <w:rFonts w:ascii="Arial" w:hAnsi="Arial" w:cs="Times New Roman"/>
      <w:bCs/>
      <w:iCs/>
    </w:rPr>
  </w:style>
  <w:style w:type="character" w:customStyle="1" w:styleId="Heading5Char">
    <w:name w:val="Heading 5 Char"/>
    <w:link w:val="Heading5"/>
    <w:uiPriority w:val="99"/>
    <w:locked/>
    <w:rPr>
      <w:rFonts w:ascii="Arial" w:hAnsi="Arial" w:cs="Times New Roman"/>
    </w:rPr>
  </w:style>
  <w:style w:type="character" w:customStyle="1" w:styleId="Heading6Char">
    <w:name w:val="Heading 6 Char"/>
    <w:link w:val="Heading6"/>
    <w:uiPriority w:val="99"/>
    <w:locked/>
    <w:rPr>
      <w:rFonts w:ascii="Arial" w:hAnsi="Arial" w:cs="Times New Roman"/>
      <w:iCs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character" w:styleId="CommentReference">
    <w:name w:val="annotation reference"/>
    <w:uiPriority w:val="99"/>
    <w:semiHidden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Heading2Char1">
    <w:name w:val="Heading 2 Char1"/>
    <w:uiPriority w:val="99"/>
    <w:rPr>
      <w:rFonts w:ascii="Arial" w:hAnsi="Arial"/>
      <w:b/>
      <w:sz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locked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aption">
    <w:name w:val="caption"/>
    <w:basedOn w:val="Normal"/>
    <w:next w:val="Normal"/>
    <w:uiPriority w:val="99"/>
    <w:qFormat/>
    <w:locked/>
    <w:pPr>
      <w:tabs>
        <w:tab w:val="left" w:pos="1985"/>
      </w:tabs>
      <w:spacing w:before="60" w:after="60"/>
      <w:ind w:left="1985" w:hanging="1985"/>
      <w:jc w:val="both"/>
    </w:pPr>
    <w:rPr>
      <w:rFonts w:ascii="Arial" w:hAnsi="Arial"/>
      <w:b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so@eso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so@eso.bg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11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за балансиране</vt:lpstr>
    </vt:vector>
  </TitlesOfParts>
  <Company/>
  <LinksUpToDate>false</LinksUpToDate>
  <CharactersWithSpaces>25235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 балансиране</dc:title>
  <dc:subject/>
  <dc:creator>Yanislav Antonov</dc:creator>
  <cp:keywords/>
  <dc:description/>
  <cp:lastModifiedBy>SKachakov</cp:lastModifiedBy>
  <cp:revision>25</cp:revision>
  <dcterms:created xsi:type="dcterms:W3CDTF">2019-02-25T14:25:00Z</dcterms:created>
  <dcterms:modified xsi:type="dcterms:W3CDTF">2019-03-22T06:53:00Z</dcterms:modified>
</cp:coreProperties>
</file>