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F27" w:rsidRDefault="009C5F27">
      <w:pPr>
        <w:jc w:val="both"/>
        <w:rPr>
          <w:rFonts w:cs="Arial"/>
          <w:sz w:val="22"/>
          <w:lang w:val="hr-HR"/>
        </w:rPr>
      </w:pPr>
    </w:p>
    <w:p w:rsidR="009C5F27" w:rsidRDefault="009C5F27">
      <w:pPr>
        <w:jc w:val="both"/>
        <w:rPr>
          <w:rFonts w:cs="Arial"/>
          <w:sz w:val="22"/>
          <w:lang w:val="hr-HR"/>
        </w:rPr>
      </w:pPr>
    </w:p>
    <w:p w:rsidR="009C5F27" w:rsidRDefault="009C5F27">
      <w:pPr>
        <w:jc w:val="both"/>
        <w:rPr>
          <w:rFonts w:cs="Arial"/>
          <w:sz w:val="22"/>
          <w:lang w:val="hr-HR"/>
        </w:rPr>
      </w:pPr>
    </w:p>
    <w:p w:rsidR="009C5F27" w:rsidRDefault="00B56235">
      <w:pPr>
        <w:jc w:val="both"/>
        <w:rPr>
          <w:rFonts w:cs="Arial"/>
          <w:b/>
          <w:sz w:val="22"/>
        </w:rPr>
      </w:pPr>
      <w:r>
        <w:rPr>
          <w:b/>
          <w:sz w:val="22"/>
        </w:rPr>
        <w:t>Съдържание:</w:t>
      </w:r>
    </w:p>
    <w:p w:rsidR="009C5F27" w:rsidRDefault="009C5F27">
      <w:pPr>
        <w:jc w:val="both"/>
        <w:rPr>
          <w:rFonts w:cs="Arial"/>
          <w:sz w:val="22"/>
          <w:lang w:val="hr-HR"/>
        </w:rPr>
      </w:pPr>
    </w:p>
    <w:p w:rsidR="006049D4" w:rsidRDefault="00B56235">
      <w:pPr>
        <w:pStyle w:val="TOC1"/>
        <w:tabs>
          <w:tab w:val="left" w:pos="440"/>
          <w:tab w:val="right" w:leader="dot" w:pos="9118"/>
        </w:tabs>
        <w:rPr>
          <w:rFonts w:asciiTheme="minorHAnsi" w:eastAsiaTheme="minorEastAsia" w:hAnsiTheme="minorHAnsi" w:cstheme="minorBidi"/>
          <w:caps w:val="0"/>
          <w:noProof/>
          <w:sz w:val="22"/>
          <w:szCs w:val="22"/>
          <w:lang w:eastAsia="bg-BG"/>
        </w:rPr>
      </w:pPr>
      <w:r>
        <w:rPr>
          <w:rFonts w:cs="Arial"/>
        </w:rPr>
        <w:fldChar w:fldCharType="begin"/>
      </w:r>
      <w:r>
        <w:rPr>
          <w:rFonts w:cs="Arial"/>
        </w:rPr>
        <w:instrText xml:space="preserve"> TOC \o "1-2" \h \z \u </w:instrText>
      </w:r>
      <w:r>
        <w:rPr>
          <w:rFonts w:cs="Arial"/>
        </w:rPr>
        <w:fldChar w:fldCharType="separate"/>
      </w:r>
      <w:hyperlink w:anchor="_Toc10122888" w:history="1">
        <w:r w:rsidR="006049D4" w:rsidRPr="00062A75">
          <w:rPr>
            <w:rStyle w:val="Hyperlink"/>
            <w:noProof/>
          </w:rPr>
          <w:t>1</w:t>
        </w:r>
        <w:r w:rsidR="006049D4">
          <w:rPr>
            <w:rFonts w:asciiTheme="minorHAnsi" w:eastAsiaTheme="minorEastAsia" w:hAnsiTheme="minorHAnsi" w:cstheme="minorBidi"/>
            <w:caps w:val="0"/>
            <w:noProof/>
            <w:sz w:val="22"/>
            <w:szCs w:val="22"/>
            <w:lang w:eastAsia="bg-BG"/>
          </w:rPr>
          <w:tab/>
        </w:r>
        <w:r w:rsidR="006049D4" w:rsidRPr="00062A75">
          <w:rPr>
            <w:rStyle w:val="Hyperlink"/>
            <w:noProof/>
          </w:rPr>
          <w:t>ВЪВЕДЕНИЕ</w:t>
        </w:r>
        <w:r w:rsidR="006049D4">
          <w:rPr>
            <w:noProof/>
            <w:webHidden/>
          </w:rPr>
          <w:tab/>
        </w:r>
        <w:r w:rsidR="006049D4">
          <w:rPr>
            <w:noProof/>
            <w:webHidden/>
          </w:rPr>
          <w:fldChar w:fldCharType="begin"/>
        </w:r>
        <w:r w:rsidR="006049D4">
          <w:rPr>
            <w:noProof/>
            <w:webHidden/>
          </w:rPr>
          <w:instrText xml:space="preserve"> PAGEREF _Toc10122888 \h </w:instrText>
        </w:r>
        <w:r w:rsidR="006049D4">
          <w:rPr>
            <w:noProof/>
            <w:webHidden/>
          </w:rPr>
        </w:r>
        <w:r w:rsidR="006049D4">
          <w:rPr>
            <w:noProof/>
            <w:webHidden/>
          </w:rPr>
          <w:fldChar w:fldCharType="separate"/>
        </w:r>
        <w:r w:rsidR="006049D4">
          <w:rPr>
            <w:noProof/>
            <w:webHidden/>
          </w:rPr>
          <w:t>2</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889" w:history="1">
        <w:r w:rsidR="006049D4" w:rsidRPr="00062A75">
          <w:rPr>
            <w:rStyle w:val="Hyperlink"/>
            <w:noProof/>
            <w14:scene3d>
              <w14:camera w14:prst="orthographicFront"/>
              <w14:lightRig w14:rig="threePt" w14:dir="t">
                <w14:rot w14:lat="0" w14:lon="0" w14:rev="0"/>
              </w14:lightRig>
            </w14:scene3d>
          </w:rPr>
          <w:t>1.1</w:t>
        </w:r>
        <w:r w:rsidR="006049D4">
          <w:rPr>
            <w:rFonts w:asciiTheme="minorHAnsi" w:eastAsiaTheme="minorEastAsia" w:hAnsiTheme="minorHAnsi" w:cstheme="minorBidi"/>
            <w:noProof/>
            <w:sz w:val="22"/>
            <w:szCs w:val="22"/>
            <w:lang w:eastAsia="bg-BG"/>
          </w:rPr>
          <w:tab/>
        </w:r>
        <w:r w:rsidR="006049D4" w:rsidRPr="00062A75">
          <w:rPr>
            <w:rStyle w:val="Hyperlink"/>
            <w:noProof/>
          </w:rPr>
          <w:t>Цел</w:t>
        </w:r>
        <w:r w:rsidR="006049D4">
          <w:rPr>
            <w:noProof/>
            <w:webHidden/>
          </w:rPr>
          <w:tab/>
        </w:r>
        <w:r w:rsidR="006049D4">
          <w:rPr>
            <w:noProof/>
            <w:webHidden/>
          </w:rPr>
          <w:fldChar w:fldCharType="begin"/>
        </w:r>
        <w:r w:rsidR="006049D4">
          <w:rPr>
            <w:noProof/>
            <w:webHidden/>
          </w:rPr>
          <w:instrText xml:space="preserve"> PAGEREF _Toc10122889 \h </w:instrText>
        </w:r>
        <w:r w:rsidR="006049D4">
          <w:rPr>
            <w:noProof/>
            <w:webHidden/>
          </w:rPr>
        </w:r>
        <w:r w:rsidR="006049D4">
          <w:rPr>
            <w:noProof/>
            <w:webHidden/>
          </w:rPr>
          <w:fldChar w:fldCharType="separate"/>
        </w:r>
        <w:r w:rsidR="006049D4">
          <w:rPr>
            <w:noProof/>
            <w:webHidden/>
          </w:rPr>
          <w:t>2</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890" w:history="1">
        <w:r w:rsidR="006049D4" w:rsidRPr="00062A75">
          <w:rPr>
            <w:rStyle w:val="Hyperlink"/>
            <w:noProof/>
            <w14:scene3d>
              <w14:camera w14:prst="orthographicFront"/>
              <w14:lightRig w14:rig="threePt" w14:dir="t">
                <w14:rot w14:lat="0" w14:lon="0" w14:rev="0"/>
              </w14:lightRig>
            </w14:scene3d>
          </w:rPr>
          <w:t>1.2</w:t>
        </w:r>
        <w:r w:rsidR="006049D4">
          <w:rPr>
            <w:rFonts w:asciiTheme="minorHAnsi" w:eastAsiaTheme="minorEastAsia" w:hAnsiTheme="minorHAnsi" w:cstheme="minorBidi"/>
            <w:noProof/>
            <w:sz w:val="22"/>
            <w:szCs w:val="22"/>
            <w:lang w:eastAsia="bg-BG"/>
          </w:rPr>
          <w:tab/>
        </w:r>
        <w:r w:rsidR="006049D4" w:rsidRPr="00062A75">
          <w:rPr>
            <w:rStyle w:val="Hyperlink"/>
            <w:noProof/>
          </w:rPr>
          <w:t>Определения и съкращения</w:t>
        </w:r>
        <w:r w:rsidR="006049D4">
          <w:rPr>
            <w:noProof/>
            <w:webHidden/>
          </w:rPr>
          <w:tab/>
        </w:r>
        <w:r w:rsidR="006049D4">
          <w:rPr>
            <w:noProof/>
            <w:webHidden/>
          </w:rPr>
          <w:fldChar w:fldCharType="begin"/>
        </w:r>
        <w:r w:rsidR="006049D4">
          <w:rPr>
            <w:noProof/>
            <w:webHidden/>
          </w:rPr>
          <w:instrText xml:space="preserve"> PAGEREF _Toc10122890 \h </w:instrText>
        </w:r>
        <w:r w:rsidR="006049D4">
          <w:rPr>
            <w:noProof/>
            <w:webHidden/>
          </w:rPr>
        </w:r>
        <w:r w:rsidR="006049D4">
          <w:rPr>
            <w:noProof/>
            <w:webHidden/>
          </w:rPr>
          <w:fldChar w:fldCharType="separate"/>
        </w:r>
        <w:r w:rsidR="006049D4">
          <w:rPr>
            <w:noProof/>
            <w:webHidden/>
          </w:rPr>
          <w:t>2</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891" w:history="1">
        <w:r w:rsidR="006049D4" w:rsidRPr="00062A75">
          <w:rPr>
            <w:rStyle w:val="Hyperlink"/>
            <w:noProof/>
            <w14:scene3d>
              <w14:camera w14:prst="orthographicFront"/>
              <w14:lightRig w14:rig="threePt" w14:dir="t">
                <w14:rot w14:lat="0" w14:lon="0" w14:rev="0"/>
              </w14:lightRig>
            </w14:scene3d>
          </w:rPr>
          <w:t>1.3</w:t>
        </w:r>
        <w:r w:rsidR="006049D4">
          <w:rPr>
            <w:rFonts w:asciiTheme="minorHAnsi" w:eastAsiaTheme="minorEastAsia" w:hAnsiTheme="minorHAnsi" w:cstheme="minorBidi"/>
            <w:noProof/>
            <w:sz w:val="22"/>
            <w:szCs w:val="22"/>
            <w:lang w:eastAsia="bg-BG"/>
          </w:rPr>
          <w:tab/>
        </w:r>
        <w:r w:rsidR="006049D4" w:rsidRPr="00062A75">
          <w:rPr>
            <w:rStyle w:val="Hyperlink"/>
            <w:noProof/>
          </w:rPr>
          <w:t>Преразглеждане</w:t>
        </w:r>
        <w:r w:rsidR="006049D4">
          <w:rPr>
            <w:noProof/>
            <w:webHidden/>
          </w:rPr>
          <w:tab/>
        </w:r>
        <w:r w:rsidR="006049D4">
          <w:rPr>
            <w:noProof/>
            <w:webHidden/>
          </w:rPr>
          <w:fldChar w:fldCharType="begin"/>
        </w:r>
        <w:r w:rsidR="006049D4">
          <w:rPr>
            <w:noProof/>
            <w:webHidden/>
          </w:rPr>
          <w:instrText xml:space="preserve"> PAGEREF _Toc10122891 \h </w:instrText>
        </w:r>
        <w:r w:rsidR="006049D4">
          <w:rPr>
            <w:noProof/>
            <w:webHidden/>
          </w:rPr>
        </w:r>
        <w:r w:rsidR="006049D4">
          <w:rPr>
            <w:noProof/>
            <w:webHidden/>
          </w:rPr>
          <w:fldChar w:fldCharType="separate"/>
        </w:r>
        <w:r w:rsidR="006049D4">
          <w:rPr>
            <w:noProof/>
            <w:webHidden/>
          </w:rPr>
          <w:t>2</w:t>
        </w:r>
        <w:r w:rsidR="006049D4">
          <w:rPr>
            <w:noProof/>
            <w:webHidden/>
          </w:rPr>
          <w:fldChar w:fldCharType="end"/>
        </w:r>
      </w:hyperlink>
    </w:p>
    <w:p w:rsidR="006049D4" w:rsidRDefault="00F250DF">
      <w:pPr>
        <w:pStyle w:val="TOC1"/>
        <w:tabs>
          <w:tab w:val="left" w:pos="440"/>
          <w:tab w:val="right" w:leader="dot" w:pos="9118"/>
        </w:tabs>
        <w:rPr>
          <w:rFonts w:asciiTheme="minorHAnsi" w:eastAsiaTheme="minorEastAsia" w:hAnsiTheme="minorHAnsi" w:cstheme="minorBidi"/>
          <w:caps w:val="0"/>
          <w:noProof/>
          <w:sz w:val="22"/>
          <w:szCs w:val="22"/>
          <w:lang w:eastAsia="bg-BG"/>
        </w:rPr>
      </w:pPr>
      <w:hyperlink w:anchor="_Toc10122892" w:history="1">
        <w:r w:rsidR="006049D4" w:rsidRPr="00062A75">
          <w:rPr>
            <w:rStyle w:val="Hyperlink"/>
            <w:noProof/>
          </w:rPr>
          <w:t>2</w:t>
        </w:r>
        <w:r w:rsidR="006049D4">
          <w:rPr>
            <w:rFonts w:asciiTheme="minorHAnsi" w:eastAsiaTheme="minorEastAsia" w:hAnsiTheme="minorHAnsi" w:cstheme="minorBidi"/>
            <w:caps w:val="0"/>
            <w:noProof/>
            <w:sz w:val="22"/>
            <w:szCs w:val="22"/>
            <w:lang w:eastAsia="bg-BG"/>
          </w:rPr>
          <w:tab/>
        </w:r>
        <w:r w:rsidR="006049D4" w:rsidRPr="00062A75">
          <w:rPr>
            <w:rStyle w:val="Hyperlink"/>
            <w:noProof/>
          </w:rPr>
          <w:t>СИСТЕМА</w:t>
        </w:r>
        <w:r w:rsidR="006049D4">
          <w:rPr>
            <w:noProof/>
            <w:webHidden/>
          </w:rPr>
          <w:tab/>
        </w:r>
        <w:r w:rsidR="006049D4">
          <w:rPr>
            <w:noProof/>
            <w:webHidden/>
          </w:rPr>
          <w:fldChar w:fldCharType="begin"/>
        </w:r>
        <w:r w:rsidR="006049D4">
          <w:rPr>
            <w:noProof/>
            <w:webHidden/>
          </w:rPr>
          <w:instrText xml:space="preserve"> PAGEREF _Toc10122892 \h </w:instrText>
        </w:r>
        <w:r w:rsidR="006049D4">
          <w:rPr>
            <w:noProof/>
            <w:webHidden/>
          </w:rPr>
        </w:r>
        <w:r w:rsidR="006049D4">
          <w:rPr>
            <w:noProof/>
            <w:webHidden/>
          </w:rPr>
          <w:fldChar w:fldCharType="separate"/>
        </w:r>
        <w:r w:rsidR="006049D4">
          <w:rPr>
            <w:noProof/>
            <w:webHidden/>
          </w:rPr>
          <w:t>3</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893" w:history="1">
        <w:r w:rsidR="006049D4" w:rsidRPr="00062A75">
          <w:rPr>
            <w:rStyle w:val="Hyperlink"/>
            <w:noProof/>
            <w14:scene3d>
              <w14:camera w14:prst="orthographicFront"/>
              <w14:lightRig w14:rig="threePt" w14:dir="t">
                <w14:rot w14:lat="0" w14:lon="0" w14:rev="0"/>
              </w14:lightRig>
            </w14:scene3d>
          </w:rPr>
          <w:t>2.1</w:t>
        </w:r>
        <w:r w:rsidR="006049D4">
          <w:rPr>
            <w:rFonts w:asciiTheme="minorHAnsi" w:eastAsiaTheme="minorEastAsia" w:hAnsiTheme="minorHAnsi" w:cstheme="minorBidi"/>
            <w:noProof/>
            <w:sz w:val="22"/>
            <w:szCs w:val="22"/>
            <w:lang w:eastAsia="bg-BG"/>
          </w:rPr>
          <w:tab/>
        </w:r>
        <w:r w:rsidR="006049D4" w:rsidRPr="00062A75">
          <w:rPr>
            <w:rStyle w:val="Hyperlink"/>
            <w:noProof/>
          </w:rPr>
          <w:t>Избор на език</w:t>
        </w:r>
        <w:r w:rsidR="006049D4">
          <w:rPr>
            <w:noProof/>
            <w:webHidden/>
          </w:rPr>
          <w:tab/>
        </w:r>
        <w:r w:rsidR="006049D4">
          <w:rPr>
            <w:noProof/>
            <w:webHidden/>
          </w:rPr>
          <w:fldChar w:fldCharType="begin"/>
        </w:r>
        <w:r w:rsidR="006049D4">
          <w:rPr>
            <w:noProof/>
            <w:webHidden/>
          </w:rPr>
          <w:instrText xml:space="preserve"> PAGEREF _Toc10122893 \h </w:instrText>
        </w:r>
        <w:r w:rsidR="006049D4">
          <w:rPr>
            <w:noProof/>
            <w:webHidden/>
          </w:rPr>
        </w:r>
        <w:r w:rsidR="006049D4">
          <w:rPr>
            <w:noProof/>
            <w:webHidden/>
          </w:rPr>
          <w:fldChar w:fldCharType="separate"/>
        </w:r>
        <w:r w:rsidR="006049D4">
          <w:rPr>
            <w:noProof/>
            <w:webHidden/>
          </w:rPr>
          <w:t>3</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894" w:history="1">
        <w:r w:rsidR="006049D4" w:rsidRPr="00062A75">
          <w:rPr>
            <w:rStyle w:val="Hyperlink"/>
            <w:noProof/>
            <w14:scene3d>
              <w14:camera w14:prst="orthographicFront"/>
              <w14:lightRig w14:rig="threePt" w14:dir="t">
                <w14:rot w14:lat="0" w14:lon="0" w14:rev="0"/>
              </w14:lightRig>
            </w14:scene3d>
          </w:rPr>
          <w:t>2.2</w:t>
        </w:r>
        <w:r w:rsidR="006049D4">
          <w:rPr>
            <w:rFonts w:asciiTheme="minorHAnsi" w:eastAsiaTheme="minorEastAsia" w:hAnsiTheme="minorHAnsi" w:cstheme="minorBidi"/>
            <w:noProof/>
            <w:sz w:val="22"/>
            <w:szCs w:val="22"/>
            <w:lang w:eastAsia="bg-BG"/>
          </w:rPr>
          <w:tab/>
        </w:r>
        <w:r w:rsidR="006049D4" w:rsidRPr="00062A75">
          <w:rPr>
            <w:rStyle w:val="Hyperlink"/>
            <w:noProof/>
          </w:rPr>
          <w:t>Уведомления</w:t>
        </w:r>
        <w:r w:rsidR="006049D4">
          <w:rPr>
            <w:noProof/>
            <w:webHidden/>
          </w:rPr>
          <w:tab/>
        </w:r>
        <w:r w:rsidR="006049D4">
          <w:rPr>
            <w:noProof/>
            <w:webHidden/>
          </w:rPr>
          <w:fldChar w:fldCharType="begin"/>
        </w:r>
        <w:r w:rsidR="006049D4">
          <w:rPr>
            <w:noProof/>
            <w:webHidden/>
          </w:rPr>
          <w:instrText xml:space="preserve"> PAGEREF _Toc10122894 \h </w:instrText>
        </w:r>
        <w:r w:rsidR="006049D4">
          <w:rPr>
            <w:noProof/>
            <w:webHidden/>
          </w:rPr>
        </w:r>
        <w:r w:rsidR="006049D4">
          <w:rPr>
            <w:noProof/>
            <w:webHidden/>
          </w:rPr>
          <w:fldChar w:fldCharType="separate"/>
        </w:r>
        <w:r w:rsidR="006049D4">
          <w:rPr>
            <w:noProof/>
            <w:webHidden/>
          </w:rPr>
          <w:t>3</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895" w:history="1">
        <w:r w:rsidR="006049D4" w:rsidRPr="00062A75">
          <w:rPr>
            <w:rStyle w:val="Hyperlink"/>
            <w:noProof/>
            <w14:scene3d>
              <w14:camera w14:prst="orthographicFront"/>
              <w14:lightRig w14:rig="threePt" w14:dir="t">
                <w14:rot w14:lat="0" w14:lon="0" w14:rev="0"/>
              </w14:lightRig>
            </w14:scene3d>
          </w:rPr>
          <w:t>2.3</w:t>
        </w:r>
        <w:r w:rsidR="006049D4">
          <w:rPr>
            <w:rFonts w:asciiTheme="minorHAnsi" w:eastAsiaTheme="minorEastAsia" w:hAnsiTheme="minorHAnsi" w:cstheme="minorBidi"/>
            <w:noProof/>
            <w:sz w:val="22"/>
            <w:szCs w:val="22"/>
            <w:lang w:eastAsia="bg-BG"/>
          </w:rPr>
          <w:tab/>
        </w:r>
        <w:r w:rsidR="006049D4" w:rsidRPr="00062A75">
          <w:rPr>
            <w:rStyle w:val="Hyperlink"/>
            <w:noProof/>
          </w:rPr>
          <w:t>Вход в системата</w:t>
        </w:r>
        <w:r w:rsidR="006049D4">
          <w:rPr>
            <w:noProof/>
            <w:webHidden/>
          </w:rPr>
          <w:tab/>
        </w:r>
        <w:r w:rsidR="006049D4">
          <w:rPr>
            <w:noProof/>
            <w:webHidden/>
          </w:rPr>
          <w:fldChar w:fldCharType="begin"/>
        </w:r>
        <w:r w:rsidR="006049D4">
          <w:rPr>
            <w:noProof/>
            <w:webHidden/>
          </w:rPr>
          <w:instrText xml:space="preserve"> PAGEREF _Toc10122895 \h </w:instrText>
        </w:r>
        <w:r w:rsidR="006049D4">
          <w:rPr>
            <w:noProof/>
            <w:webHidden/>
          </w:rPr>
        </w:r>
        <w:r w:rsidR="006049D4">
          <w:rPr>
            <w:noProof/>
            <w:webHidden/>
          </w:rPr>
          <w:fldChar w:fldCharType="separate"/>
        </w:r>
        <w:r w:rsidR="006049D4">
          <w:rPr>
            <w:noProof/>
            <w:webHidden/>
          </w:rPr>
          <w:t>3</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896" w:history="1">
        <w:r w:rsidR="006049D4" w:rsidRPr="00062A75">
          <w:rPr>
            <w:rStyle w:val="Hyperlink"/>
            <w:noProof/>
            <w14:scene3d>
              <w14:camera w14:prst="orthographicFront"/>
              <w14:lightRig w14:rig="threePt" w14:dir="t">
                <w14:rot w14:lat="0" w14:lon="0" w14:rev="0"/>
              </w14:lightRig>
            </w14:scene3d>
          </w:rPr>
          <w:t>2.4</w:t>
        </w:r>
        <w:r w:rsidR="006049D4">
          <w:rPr>
            <w:rFonts w:asciiTheme="minorHAnsi" w:eastAsiaTheme="minorEastAsia" w:hAnsiTheme="minorHAnsi" w:cstheme="minorBidi"/>
            <w:noProof/>
            <w:sz w:val="22"/>
            <w:szCs w:val="22"/>
            <w:lang w:eastAsia="bg-BG"/>
          </w:rPr>
          <w:tab/>
        </w:r>
        <w:r w:rsidR="006049D4" w:rsidRPr="00062A75">
          <w:rPr>
            <w:rStyle w:val="Hyperlink"/>
            <w:noProof/>
          </w:rPr>
          <w:t>Избор на компания</w:t>
        </w:r>
        <w:r w:rsidR="006049D4">
          <w:rPr>
            <w:noProof/>
            <w:webHidden/>
          </w:rPr>
          <w:tab/>
        </w:r>
        <w:r w:rsidR="006049D4">
          <w:rPr>
            <w:noProof/>
            <w:webHidden/>
          </w:rPr>
          <w:fldChar w:fldCharType="begin"/>
        </w:r>
        <w:r w:rsidR="006049D4">
          <w:rPr>
            <w:noProof/>
            <w:webHidden/>
          </w:rPr>
          <w:instrText xml:space="preserve"> PAGEREF _Toc10122896 \h </w:instrText>
        </w:r>
        <w:r w:rsidR="006049D4">
          <w:rPr>
            <w:noProof/>
            <w:webHidden/>
          </w:rPr>
        </w:r>
        <w:r w:rsidR="006049D4">
          <w:rPr>
            <w:noProof/>
            <w:webHidden/>
          </w:rPr>
          <w:fldChar w:fldCharType="separate"/>
        </w:r>
        <w:r w:rsidR="006049D4">
          <w:rPr>
            <w:noProof/>
            <w:webHidden/>
          </w:rPr>
          <w:t>4</w:t>
        </w:r>
        <w:r w:rsidR="006049D4">
          <w:rPr>
            <w:noProof/>
            <w:webHidden/>
          </w:rPr>
          <w:fldChar w:fldCharType="end"/>
        </w:r>
      </w:hyperlink>
    </w:p>
    <w:p w:rsidR="006049D4" w:rsidRDefault="00F250DF">
      <w:pPr>
        <w:pStyle w:val="TOC1"/>
        <w:tabs>
          <w:tab w:val="left" w:pos="440"/>
          <w:tab w:val="right" w:leader="dot" w:pos="9118"/>
        </w:tabs>
        <w:rPr>
          <w:rFonts w:asciiTheme="minorHAnsi" w:eastAsiaTheme="minorEastAsia" w:hAnsiTheme="minorHAnsi" w:cstheme="minorBidi"/>
          <w:caps w:val="0"/>
          <w:noProof/>
          <w:sz w:val="22"/>
          <w:szCs w:val="22"/>
          <w:lang w:eastAsia="bg-BG"/>
        </w:rPr>
      </w:pPr>
      <w:hyperlink w:anchor="_Toc10122897" w:history="1">
        <w:r w:rsidR="006049D4" w:rsidRPr="00062A75">
          <w:rPr>
            <w:rStyle w:val="Hyperlink"/>
            <w:noProof/>
          </w:rPr>
          <w:t>3</w:t>
        </w:r>
        <w:r w:rsidR="006049D4">
          <w:rPr>
            <w:rFonts w:asciiTheme="minorHAnsi" w:eastAsiaTheme="minorEastAsia" w:hAnsiTheme="minorHAnsi" w:cstheme="minorBidi"/>
            <w:caps w:val="0"/>
            <w:noProof/>
            <w:sz w:val="22"/>
            <w:szCs w:val="22"/>
            <w:lang w:eastAsia="bg-BG"/>
          </w:rPr>
          <w:tab/>
        </w:r>
        <w:r w:rsidR="006049D4" w:rsidRPr="00062A75">
          <w:rPr>
            <w:rStyle w:val="Hyperlink"/>
            <w:noProof/>
          </w:rPr>
          <w:t>Модул Основни данни</w:t>
        </w:r>
        <w:r w:rsidR="006049D4">
          <w:rPr>
            <w:noProof/>
            <w:webHidden/>
          </w:rPr>
          <w:tab/>
        </w:r>
        <w:r w:rsidR="006049D4">
          <w:rPr>
            <w:noProof/>
            <w:webHidden/>
          </w:rPr>
          <w:fldChar w:fldCharType="begin"/>
        </w:r>
        <w:r w:rsidR="006049D4">
          <w:rPr>
            <w:noProof/>
            <w:webHidden/>
          </w:rPr>
          <w:instrText xml:space="preserve"> PAGEREF _Toc10122897 \h </w:instrText>
        </w:r>
        <w:r w:rsidR="006049D4">
          <w:rPr>
            <w:noProof/>
            <w:webHidden/>
          </w:rPr>
        </w:r>
        <w:r w:rsidR="006049D4">
          <w:rPr>
            <w:noProof/>
            <w:webHidden/>
          </w:rPr>
          <w:fldChar w:fldCharType="separate"/>
        </w:r>
        <w:r w:rsidR="006049D4">
          <w:rPr>
            <w:noProof/>
            <w:webHidden/>
          </w:rPr>
          <w:t>5</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898" w:history="1">
        <w:r w:rsidR="006049D4" w:rsidRPr="00062A75">
          <w:rPr>
            <w:rStyle w:val="Hyperlink"/>
            <w:noProof/>
            <w14:scene3d>
              <w14:camera w14:prst="orthographicFront"/>
              <w14:lightRig w14:rig="threePt" w14:dir="t">
                <w14:rot w14:lat="0" w14:lon="0" w14:rev="0"/>
              </w14:lightRig>
            </w14:scene3d>
          </w:rPr>
          <w:t>3.1</w:t>
        </w:r>
        <w:r w:rsidR="006049D4">
          <w:rPr>
            <w:rFonts w:asciiTheme="minorHAnsi" w:eastAsiaTheme="minorEastAsia" w:hAnsiTheme="minorHAnsi" w:cstheme="minorBidi"/>
            <w:noProof/>
            <w:sz w:val="22"/>
            <w:szCs w:val="22"/>
            <w:lang w:eastAsia="bg-BG"/>
          </w:rPr>
          <w:tab/>
        </w:r>
        <w:r w:rsidR="006049D4" w:rsidRPr="00062A75">
          <w:rPr>
            <w:rStyle w:val="Hyperlink"/>
            <w:noProof/>
          </w:rPr>
          <w:t>Компании</w:t>
        </w:r>
        <w:r w:rsidR="006049D4">
          <w:rPr>
            <w:noProof/>
            <w:webHidden/>
          </w:rPr>
          <w:tab/>
        </w:r>
        <w:r w:rsidR="006049D4">
          <w:rPr>
            <w:noProof/>
            <w:webHidden/>
          </w:rPr>
          <w:fldChar w:fldCharType="begin"/>
        </w:r>
        <w:r w:rsidR="006049D4">
          <w:rPr>
            <w:noProof/>
            <w:webHidden/>
          </w:rPr>
          <w:instrText xml:space="preserve"> PAGEREF _Toc10122898 \h </w:instrText>
        </w:r>
        <w:r w:rsidR="006049D4">
          <w:rPr>
            <w:noProof/>
            <w:webHidden/>
          </w:rPr>
        </w:r>
        <w:r w:rsidR="006049D4">
          <w:rPr>
            <w:noProof/>
            <w:webHidden/>
          </w:rPr>
          <w:fldChar w:fldCharType="separate"/>
        </w:r>
        <w:r w:rsidR="006049D4">
          <w:rPr>
            <w:noProof/>
            <w:webHidden/>
          </w:rPr>
          <w:t>5</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899" w:history="1">
        <w:r w:rsidR="006049D4" w:rsidRPr="00062A75">
          <w:rPr>
            <w:rStyle w:val="Hyperlink"/>
            <w:noProof/>
            <w14:scene3d>
              <w14:camera w14:prst="orthographicFront"/>
              <w14:lightRig w14:rig="threePt" w14:dir="t">
                <w14:rot w14:lat="0" w14:lon="0" w14:rev="0"/>
              </w14:lightRig>
            </w14:scene3d>
          </w:rPr>
          <w:t>3.2</w:t>
        </w:r>
        <w:r w:rsidR="006049D4">
          <w:rPr>
            <w:rFonts w:asciiTheme="minorHAnsi" w:eastAsiaTheme="minorEastAsia" w:hAnsiTheme="minorHAnsi" w:cstheme="minorBidi"/>
            <w:noProof/>
            <w:sz w:val="22"/>
            <w:szCs w:val="22"/>
            <w:lang w:eastAsia="bg-BG"/>
          </w:rPr>
          <w:tab/>
        </w:r>
        <w:r w:rsidR="006049D4" w:rsidRPr="00062A75">
          <w:rPr>
            <w:rStyle w:val="Hyperlink"/>
            <w:noProof/>
          </w:rPr>
          <w:t>Балансиращи групи</w:t>
        </w:r>
        <w:r w:rsidR="006049D4">
          <w:rPr>
            <w:noProof/>
            <w:webHidden/>
          </w:rPr>
          <w:tab/>
        </w:r>
        <w:r w:rsidR="006049D4">
          <w:rPr>
            <w:noProof/>
            <w:webHidden/>
          </w:rPr>
          <w:fldChar w:fldCharType="begin"/>
        </w:r>
        <w:r w:rsidR="006049D4">
          <w:rPr>
            <w:noProof/>
            <w:webHidden/>
          </w:rPr>
          <w:instrText xml:space="preserve"> PAGEREF _Toc10122899 \h </w:instrText>
        </w:r>
        <w:r w:rsidR="006049D4">
          <w:rPr>
            <w:noProof/>
            <w:webHidden/>
          </w:rPr>
        </w:r>
        <w:r w:rsidR="006049D4">
          <w:rPr>
            <w:noProof/>
            <w:webHidden/>
          </w:rPr>
          <w:fldChar w:fldCharType="separate"/>
        </w:r>
        <w:r w:rsidR="006049D4">
          <w:rPr>
            <w:noProof/>
            <w:webHidden/>
          </w:rPr>
          <w:t>10</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900" w:history="1">
        <w:r w:rsidR="006049D4" w:rsidRPr="00062A75">
          <w:rPr>
            <w:rStyle w:val="Hyperlink"/>
            <w:noProof/>
            <w14:scene3d>
              <w14:camera w14:prst="orthographicFront"/>
              <w14:lightRig w14:rig="threePt" w14:dir="t">
                <w14:rot w14:lat="0" w14:lon="0" w14:rev="0"/>
              </w14:lightRig>
            </w14:scene3d>
          </w:rPr>
          <w:t>3.3</w:t>
        </w:r>
        <w:r w:rsidR="006049D4">
          <w:rPr>
            <w:rFonts w:asciiTheme="minorHAnsi" w:eastAsiaTheme="minorEastAsia" w:hAnsiTheme="minorHAnsi" w:cstheme="minorBidi"/>
            <w:noProof/>
            <w:sz w:val="22"/>
            <w:szCs w:val="22"/>
            <w:lang w:eastAsia="bg-BG"/>
          </w:rPr>
          <w:tab/>
        </w:r>
        <w:r w:rsidR="006049D4" w:rsidRPr="00062A75">
          <w:rPr>
            <w:rStyle w:val="Hyperlink"/>
            <w:noProof/>
          </w:rPr>
          <w:t>Потребители</w:t>
        </w:r>
        <w:r w:rsidR="006049D4">
          <w:rPr>
            <w:noProof/>
            <w:webHidden/>
          </w:rPr>
          <w:tab/>
        </w:r>
        <w:r w:rsidR="006049D4">
          <w:rPr>
            <w:noProof/>
            <w:webHidden/>
          </w:rPr>
          <w:fldChar w:fldCharType="begin"/>
        </w:r>
        <w:r w:rsidR="006049D4">
          <w:rPr>
            <w:noProof/>
            <w:webHidden/>
          </w:rPr>
          <w:instrText xml:space="preserve"> PAGEREF _Toc10122900 \h </w:instrText>
        </w:r>
        <w:r w:rsidR="006049D4">
          <w:rPr>
            <w:noProof/>
            <w:webHidden/>
          </w:rPr>
        </w:r>
        <w:r w:rsidR="006049D4">
          <w:rPr>
            <w:noProof/>
            <w:webHidden/>
          </w:rPr>
          <w:fldChar w:fldCharType="separate"/>
        </w:r>
        <w:r w:rsidR="006049D4">
          <w:rPr>
            <w:noProof/>
            <w:webHidden/>
          </w:rPr>
          <w:t>13</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901" w:history="1">
        <w:r w:rsidR="006049D4" w:rsidRPr="00062A75">
          <w:rPr>
            <w:rStyle w:val="Hyperlink"/>
            <w:noProof/>
            <w14:scene3d>
              <w14:camera w14:prst="orthographicFront"/>
              <w14:lightRig w14:rig="threePt" w14:dir="t">
                <w14:rot w14:lat="0" w14:lon="0" w14:rev="0"/>
              </w14:lightRig>
            </w14:scene3d>
          </w:rPr>
          <w:t>3.4</w:t>
        </w:r>
        <w:r w:rsidR="006049D4">
          <w:rPr>
            <w:rFonts w:asciiTheme="minorHAnsi" w:eastAsiaTheme="minorEastAsia" w:hAnsiTheme="minorHAnsi" w:cstheme="minorBidi"/>
            <w:noProof/>
            <w:sz w:val="22"/>
            <w:szCs w:val="22"/>
            <w:lang w:eastAsia="bg-BG"/>
          </w:rPr>
          <w:tab/>
        </w:r>
        <w:r w:rsidR="006049D4" w:rsidRPr="00062A75">
          <w:rPr>
            <w:rStyle w:val="Hyperlink"/>
            <w:noProof/>
          </w:rPr>
          <w:t>Инсталации</w:t>
        </w:r>
        <w:r w:rsidR="006049D4">
          <w:rPr>
            <w:noProof/>
            <w:webHidden/>
          </w:rPr>
          <w:tab/>
        </w:r>
        <w:r w:rsidR="006049D4">
          <w:rPr>
            <w:noProof/>
            <w:webHidden/>
          </w:rPr>
          <w:fldChar w:fldCharType="begin"/>
        </w:r>
        <w:r w:rsidR="006049D4">
          <w:rPr>
            <w:noProof/>
            <w:webHidden/>
          </w:rPr>
          <w:instrText xml:space="preserve"> PAGEREF _Toc10122901 \h </w:instrText>
        </w:r>
        <w:r w:rsidR="006049D4">
          <w:rPr>
            <w:noProof/>
            <w:webHidden/>
          </w:rPr>
        </w:r>
        <w:r w:rsidR="006049D4">
          <w:rPr>
            <w:noProof/>
            <w:webHidden/>
          </w:rPr>
          <w:fldChar w:fldCharType="separate"/>
        </w:r>
        <w:r w:rsidR="006049D4">
          <w:rPr>
            <w:noProof/>
            <w:webHidden/>
          </w:rPr>
          <w:t>15</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902" w:history="1">
        <w:r w:rsidR="006049D4" w:rsidRPr="00062A75">
          <w:rPr>
            <w:rStyle w:val="Hyperlink"/>
            <w:noProof/>
            <w14:scene3d>
              <w14:camera w14:prst="orthographicFront"/>
              <w14:lightRig w14:rig="threePt" w14:dir="t">
                <w14:rot w14:lat="0" w14:lon="0" w14:rev="0"/>
              </w14:lightRig>
            </w14:scene3d>
          </w:rPr>
          <w:t>3.5</w:t>
        </w:r>
        <w:r w:rsidR="006049D4">
          <w:rPr>
            <w:rFonts w:asciiTheme="minorHAnsi" w:eastAsiaTheme="minorEastAsia" w:hAnsiTheme="minorHAnsi" w:cstheme="minorBidi"/>
            <w:noProof/>
            <w:sz w:val="22"/>
            <w:szCs w:val="22"/>
            <w:lang w:eastAsia="bg-BG"/>
          </w:rPr>
          <w:tab/>
        </w:r>
        <w:r w:rsidR="006049D4" w:rsidRPr="00062A75">
          <w:rPr>
            <w:rStyle w:val="Hyperlink"/>
            <w:noProof/>
          </w:rPr>
          <w:t>Система</w:t>
        </w:r>
        <w:r w:rsidR="006049D4">
          <w:rPr>
            <w:noProof/>
            <w:webHidden/>
          </w:rPr>
          <w:tab/>
        </w:r>
        <w:r w:rsidR="006049D4">
          <w:rPr>
            <w:noProof/>
            <w:webHidden/>
          </w:rPr>
          <w:fldChar w:fldCharType="begin"/>
        </w:r>
        <w:r w:rsidR="006049D4">
          <w:rPr>
            <w:noProof/>
            <w:webHidden/>
          </w:rPr>
          <w:instrText xml:space="preserve"> PAGEREF _Toc10122902 \h </w:instrText>
        </w:r>
        <w:r w:rsidR="006049D4">
          <w:rPr>
            <w:noProof/>
            <w:webHidden/>
          </w:rPr>
        </w:r>
        <w:r w:rsidR="006049D4">
          <w:rPr>
            <w:noProof/>
            <w:webHidden/>
          </w:rPr>
          <w:fldChar w:fldCharType="separate"/>
        </w:r>
        <w:r w:rsidR="006049D4">
          <w:rPr>
            <w:noProof/>
            <w:webHidden/>
          </w:rPr>
          <w:t>18</w:t>
        </w:r>
        <w:r w:rsidR="006049D4">
          <w:rPr>
            <w:noProof/>
            <w:webHidden/>
          </w:rPr>
          <w:fldChar w:fldCharType="end"/>
        </w:r>
      </w:hyperlink>
    </w:p>
    <w:p w:rsidR="006049D4" w:rsidRDefault="00F250DF">
      <w:pPr>
        <w:pStyle w:val="TOC1"/>
        <w:tabs>
          <w:tab w:val="left" w:pos="440"/>
          <w:tab w:val="right" w:leader="dot" w:pos="9118"/>
        </w:tabs>
        <w:rPr>
          <w:rFonts w:asciiTheme="minorHAnsi" w:eastAsiaTheme="minorEastAsia" w:hAnsiTheme="minorHAnsi" w:cstheme="minorBidi"/>
          <w:caps w:val="0"/>
          <w:noProof/>
          <w:sz w:val="22"/>
          <w:szCs w:val="22"/>
          <w:lang w:eastAsia="bg-BG"/>
        </w:rPr>
      </w:pPr>
      <w:hyperlink w:anchor="_Toc10122903" w:history="1">
        <w:r w:rsidR="006049D4" w:rsidRPr="00062A75">
          <w:rPr>
            <w:rStyle w:val="Hyperlink"/>
            <w:noProof/>
          </w:rPr>
          <w:t>4</w:t>
        </w:r>
        <w:r w:rsidR="006049D4">
          <w:rPr>
            <w:rFonts w:asciiTheme="minorHAnsi" w:eastAsiaTheme="minorEastAsia" w:hAnsiTheme="minorHAnsi" w:cstheme="minorBidi"/>
            <w:caps w:val="0"/>
            <w:noProof/>
            <w:sz w:val="22"/>
            <w:szCs w:val="22"/>
            <w:lang w:eastAsia="bg-BG"/>
          </w:rPr>
          <w:tab/>
        </w:r>
        <w:r w:rsidR="006049D4" w:rsidRPr="00062A75">
          <w:rPr>
            <w:rStyle w:val="Hyperlink"/>
            <w:noProof/>
          </w:rPr>
          <w:t>Модул Търгове ЗА ПРЕНОСНА СПОСОБНОСТ</w:t>
        </w:r>
        <w:r w:rsidR="006049D4">
          <w:rPr>
            <w:noProof/>
            <w:webHidden/>
          </w:rPr>
          <w:tab/>
        </w:r>
        <w:r w:rsidR="006049D4">
          <w:rPr>
            <w:noProof/>
            <w:webHidden/>
          </w:rPr>
          <w:fldChar w:fldCharType="begin"/>
        </w:r>
        <w:r w:rsidR="006049D4">
          <w:rPr>
            <w:noProof/>
            <w:webHidden/>
          </w:rPr>
          <w:instrText xml:space="preserve"> PAGEREF _Toc10122903 \h </w:instrText>
        </w:r>
        <w:r w:rsidR="006049D4">
          <w:rPr>
            <w:noProof/>
            <w:webHidden/>
          </w:rPr>
        </w:r>
        <w:r w:rsidR="006049D4">
          <w:rPr>
            <w:noProof/>
            <w:webHidden/>
          </w:rPr>
          <w:fldChar w:fldCharType="separate"/>
        </w:r>
        <w:r w:rsidR="006049D4">
          <w:rPr>
            <w:noProof/>
            <w:webHidden/>
          </w:rPr>
          <w:t>19</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904" w:history="1">
        <w:r w:rsidR="006049D4" w:rsidRPr="00062A75">
          <w:rPr>
            <w:rStyle w:val="Hyperlink"/>
            <w:noProof/>
            <w14:scene3d>
              <w14:camera w14:prst="orthographicFront"/>
              <w14:lightRig w14:rig="threePt" w14:dir="t">
                <w14:rot w14:lat="0" w14:lon="0" w14:rev="0"/>
              </w14:lightRig>
            </w14:scene3d>
          </w:rPr>
          <w:t>4.1</w:t>
        </w:r>
        <w:r w:rsidR="006049D4">
          <w:rPr>
            <w:rFonts w:asciiTheme="minorHAnsi" w:eastAsiaTheme="minorEastAsia" w:hAnsiTheme="minorHAnsi" w:cstheme="minorBidi"/>
            <w:noProof/>
            <w:sz w:val="22"/>
            <w:szCs w:val="22"/>
            <w:lang w:eastAsia="bg-BG"/>
          </w:rPr>
          <w:tab/>
        </w:r>
        <w:r w:rsidR="006049D4" w:rsidRPr="00062A75">
          <w:rPr>
            <w:rStyle w:val="Hyperlink"/>
            <w:noProof/>
          </w:rPr>
          <w:t>Търгове</w:t>
        </w:r>
        <w:r w:rsidR="006049D4">
          <w:rPr>
            <w:noProof/>
            <w:webHidden/>
          </w:rPr>
          <w:tab/>
        </w:r>
        <w:r w:rsidR="006049D4">
          <w:rPr>
            <w:noProof/>
            <w:webHidden/>
          </w:rPr>
          <w:fldChar w:fldCharType="begin"/>
        </w:r>
        <w:r w:rsidR="006049D4">
          <w:rPr>
            <w:noProof/>
            <w:webHidden/>
          </w:rPr>
          <w:instrText xml:space="preserve"> PAGEREF _Toc10122904 \h </w:instrText>
        </w:r>
        <w:r w:rsidR="006049D4">
          <w:rPr>
            <w:noProof/>
            <w:webHidden/>
          </w:rPr>
        </w:r>
        <w:r w:rsidR="006049D4">
          <w:rPr>
            <w:noProof/>
            <w:webHidden/>
          </w:rPr>
          <w:fldChar w:fldCharType="separate"/>
        </w:r>
        <w:r w:rsidR="006049D4">
          <w:rPr>
            <w:noProof/>
            <w:webHidden/>
          </w:rPr>
          <w:t>19</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905" w:history="1">
        <w:r w:rsidR="006049D4" w:rsidRPr="00062A75">
          <w:rPr>
            <w:rStyle w:val="Hyperlink"/>
            <w:noProof/>
            <w14:scene3d>
              <w14:camera w14:prst="orthographicFront"/>
              <w14:lightRig w14:rig="threePt" w14:dir="t">
                <w14:rot w14:lat="0" w14:lon="0" w14:rev="0"/>
              </w14:lightRig>
            </w14:scene3d>
          </w:rPr>
          <w:t>4.2</w:t>
        </w:r>
        <w:r w:rsidR="006049D4">
          <w:rPr>
            <w:rFonts w:asciiTheme="minorHAnsi" w:eastAsiaTheme="minorEastAsia" w:hAnsiTheme="minorHAnsi" w:cstheme="minorBidi"/>
            <w:noProof/>
            <w:sz w:val="22"/>
            <w:szCs w:val="22"/>
            <w:lang w:eastAsia="bg-BG"/>
          </w:rPr>
          <w:tab/>
        </w:r>
        <w:r w:rsidR="006049D4" w:rsidRPr="00062A75">
          <w:rPr>
            <w:rStyle w:val="Hyperlink"/>
            <w:noProof/>
          </w:rPr>
          <w:t>Тръжни резултати</w:t>
        </w:r>
        <w:r w:rsidR="006049D4">
          <w:rPr>
            <w:noProof/>
            <w:webHidden/>
          </w:rPr>
          <w:tab/>
        </w:r>
        <w:r w:rsidR="006049D4">
          <w:rPr>
            <w:noProof/>
            <w:webHidden/>
          </w:rPr>
          <w:fldChar w:fldCharType="begin"/>
        </w:r>
        <w:r w:rsidR="006049D4">
          <w:rPr>
            <w:noProof/>
            <w:webHidden/>
          </w:rPr>
          <w:instrText xml:space="preserve"> PAGEREF _Toc10122905 \h </w:instrText>
        </w:r>
        <w:r w:rsidR="006049D4">
          <w:rPr>
            <w:noProof/>
            <w:webHidden/>
          </w:rPr>
        </w:r>
        <w:r w:rsidR="006049D4">
          <w:rPr>
            <w:noProof/>
            <w:webHidden/>
          </w:rPr>
          <w:fldChar w:fldCharType="separate"/>
        </w:r>
        <w:r w:rsidR="006049D4">
          <w:rPr>
            <w:noProof/>
            <w:webHidden/>
          </w:rPr>
          <w:t>25</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906" w:history="1">
        <w:r w:rsidR="006049D4" w:rsidRPr="00062A75">
          <w:rPr>
            <w:rStyle w:val="Hyperlink"/>
            <w:noProof/>
            <w14:scene3d>
              <w14:camera w14:prst="orthographicFront"/>
              <w14:lightRig w14:rig="threePt" w14:dir="t">
                <w14:rot w14:lat="0" w14:lon="0" w14:rev="0"/>
              </w14:lightRig>
            </w14:scene3d>
          </w:rPr>
          <w:t>4.3</w:t>
        </w:r>
        <w:r w:rsidR="006049D4">
          <w:rPr>
            <w:rFonts w:asciiTheme="minorHAnsi" w:eastAsiaTheme="minorEastAsia" w:hAnsiTheme="minorHAnsi" w:cstheme="minorBidi"/>
            <w:noProof/>
            <w:sz w:val="22"/>
            <w:szCs w:val="22"/>
            <w:lang w:eastAsia="bg-BG"/>
          </w:rPr>
          <w:tab/>
        </w:r>
        <w:r w:rsidR="006049D4" w:rsidRPr="00062A75">
          <w:rPr>
            <w:rStyle w:val="Hyperlink"/>
            <w:noProof/>
          </w:rPr>
          <w:t>ECAN документи</w:t>
        </w:r>
        <w:r w:rsidR="006049D4">
          <w:rPr>
            <w:noProof/>
            <w:webHidden/>
          </w:rPr>
          <w:tab/>
        </w:r>
        <w:r w:rsidR="006049D4">
          <w:rPr>
            <w:noProof/>
            <w:webHidden/>
          </w:rPr>
          <w:fldChar w:fldCharType="begin"/>
        </w:r>
        <w:r w:rsidR="006049D4">
          <w:rPr>
            <w:noProof/>
            <w:webHidden/>
          </w:rPr>
          <w:instrText xml:space="preserve"> PAGEREF _Toc10122906 \h </w:instrText>
        </w:r>
        <w:r w:rsidR="006049D4">
          <w:rPr>
            <w:noProof/>
            <w:webHidden/>
          </w:rPr>
        </w:r>
        <w:r w:rsidR="006049D4">
          <w:rPr>
            <w:noProof/>
            <w:webHidden/>
          </w:rPr>
          <w:fldChar w:fldCharType="separate"/>
        </w:r>
        <w:r w:rsidR="006049D4">
          <w:rPr>
            <w:noProof/>
            <w:webHidden/>
          </w:rPr>
          <w:t>26</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907" w:history="1">
        <w:r w:rsidR="006049D4" w:rsidRPr="00062A75">
          <w:rPr>
            <w:rStyle w:val="Hyperlink"/>
            <w:noProof/>
            <w14:scene3d>
              <w14:camera w14:prst="orthographicFront"/>
              <w14:lightRig w14:rig="threePt" w14:dir="t">
                <w14:rot w14:lat="0" w14:lon="0" w14:rev="0"/>
              </w14:lightRig>
            </w14:scene3d>
          </w:rPr>
          <w:t>4.4</w:t>
        </w:r>
        <w:r w:rsidR="006049D4">
          <w:rPr>
            <w:rFonts w:asciiTheme="minorHAnsi" w:eastAsiaTheme="minorEastAsia" w:hAnsiTheme="minorHAnsi" w:cstheme="minorBidi"/>
            <w:noProof/>
            <w:sz w:val="22"/>
            <w:szCs w:val="22"/>
            <w:lang w:eastAsia="bg-BG"/>
          </w:rPr>
          <w:tab/>
        </w:r>
        <w:r w:rsidR="006049D4" w:rsidRPr="00062A75">
          <w:rPr>
            <w:rStyle w:val="Hyperlink"/>
            <w:noProof/>
          </w:rPr>
          <w:t>Списък на ТПП и вторичен пазар</w:t>
        </w:r>
        <w:r w:rsidR="006049D4">
          <w:rPr>
            <w:noProof/>
            <w:webHidden/>
          </w:rPr>
          <w:tab/>
        </w:r>
        <w:r w:rsidR="006049D4">
          <w:rPr>
            <w:noProof/>
            <w:webHidden/>
          </w:rPr>
          <w:fldChar w:fldCharType="begin"/>
        </w:r>
        <w:r w:rsidR="006049D4">
          <w:rPr>
            <w:noProof/>
            <w:webHidden/>
          </w:rPr>
          <w:instrText xml:space="preserve"> PAGEREF _Toc10122907 \h </w:instrText>
        </w:r>
        <w:r w:rsidR="006049D4">
          <w:rPr>
            <w:noProof/>
            <w:webHidden/>
          </w:rPr>
        </w:r>
        <w:r w:rsidR="006049D4">
          <w:rPr>
            <w:noProof/>
            <w:webHidden/>
          </w:rPr>
          <w:fldChar w:fldCharType="separate"/>
        </w:r>
        <w:r w:rsidR="006049D4">
          <w:rPr>
            <w:noProof/>
            <w:webHidden/>
          </w:rPr>
          <w:t>27</w:t>
        </w:r>
        <w:r w:rsidR="006049D4">
          <w:rPr>
            <w:noProof/>
            <w:webHidden/>
          </w:rPr>
          <w:fldChar w:fldCharType="end"/>
        </w:r>
      </w:hyperlink>
    </w:p>
    <w:p w:rsidR="006049D4" w:rsidRDefault="00F250DF">
      <w:pPr>
        <w:pStyle w:val="TOC2"/>
        <w:tabs>
          <w:tab w:val="left" w:pos="880"/>
          <w:tab w:val="right" w:leader="dot" w:pos="9118"/>
        </w:tabs>
        <w:rPr>
          <w:rFonts w:asciiTheme="minorHAnsi" w:eastAsiaTheme="minorEastAsia" w:hAnsiTheme="minorHAnsi" w:cstheme="minorBidi"/>
          <w:noProof/>
          <w:sz w:val="22"/>
          <w:szCs w:val="22"/>
          <w:lang w:eastAsia="bg-BG"/>
        </w:rPr>
      </w:pPr>
      <w:hyperlink w:anchor="_Toc10122908" w:history="1">
        <w:r w:rsidR="006049D4" w:rsidRPr="00062A75">
          <w:rPr>
            <w:rStyle w:val="Hyperlink"/>
            <w:noProof/>
            <w14:scene3d>
              <w14:camera w14:prst="orthographicFront"/>
              <w14:lightRig w14:rig="threePt" w14:dir="t">
                <w14:rot w14:lat="0" w14:lon="0" w14:rev="0"/>
              </w14:lightRig>
            </w14:scene3d>
          </w:rPr>
          <w:t>4.5</w:t>
        </w:r>
        <w:r w:rsidR="006049D4">
          <w:rPr>
            <w:rFonts w:asciiTheme="minorHAnsi" w:eastAsiaTheme="minorEastAsia" w:hAnsiTheme="minorHAnsi" w:cstheme="minorBidi"/>
            <w:noProof/>
            <w:sz w:val="22"/>
            <w:szCs w:val="22"/>
            <w:lang w:eastAsia="bg-BG"/>
          </w:rPr>
          <w:tab/>
        </w:r>
        <w:r w:rsidR="006049D4" w:rsidRPr="00062A75">
          <w:rPr>
            <w:rStyle w:val="Hyperlink"/>
            <w:noProof/>
          </w:rPr>
          <w:t>Редуциране на преносна способност</w:t>
        </w:r>
        <w:r w:rsidR="006049D4">
          <w:rPr>
            <w:noProof/>
            <w:webHidden/>
          </w:rPr>
          <w:tab/>
        </w:r>
        <w:r w:rsidR="006049D4">
          <w:rPr>
            <w:noProof/>
            <w:webHidden/>
          </w:rPr>
          <w:fldChar w:fldCharType="begin"/>
        </w:r>
        <w:r w:rsidR="006049D4">
          <w:rPr>
            <w:noProof/>
            <w:webHidden/>
          </w:rPr>
          <w:instrText xml:space="preserve"> PAGEREF _Toc10122908 \h </w:instrText>
        </w:r>
        <w:r w:rsidR="006049D4">
          <w:rPr>
            <w:noProof/>
            <w:webHidden/>
          </w:rPr>
        </w:r>
        <w:r w:rsidR="006049D4">
          <w:rPr>
            <w:noProof/>
            <w:webHidden/>
          </w:rPr>
          <w:fldChar w:fldCharType="separate"/>
        </w:r>
        <w:r w:rsidR="006049D4">
          <w:rPr>
            <w:noProof/>
            <w:webHidden/>
          </w:rPr>
          <w:t>30</w:t>
        </w:r>
        <w:r w:rsidR="006049D4">
          <w:rPr>
            <w:noProof/>
            <w:webHidden/>
          </w:rPr>
          <w:fldChar w:fldCharType="end"/>
        </w:r>
      </w:hyperlink>
    </w:p>
    <w:p w:rsidR="009C5F27" w:rsidRDefault="00B56235">
      <w:pPr>
        <w:jc w:val="both"/>
        <w:rPr>
          <w:rFonts w:cs="Arial"/>
        </w:rPr>
      </w:pPr>
      <w:r>
        <w:rPr>
          <w:rFonts w:cs="Arial"/>
        </w:rPr>
        <w:fldChar w:fldCharType="end"/>
      </w:r>
    </w:p>
    <w:p w:rsidR="009C5F27" w:rsidRDefault="009C5F27">
      <w:pPr>
        <w:jc w:val="both"/>
        <w:rPr>
          <w:rFonts w:cs="Arial"/>
          <w:b/>
          <w:sz w:val="22"/>
          <w:lang w:val="hr-HR"/>
        </w:rPr>
      </w:pPr>
    </w:p>
    <w:p w:rsidR="009C5F27" w:rsidRDefault="009C5F27">
      <w:pPr>
        <w:jc w:val="both"/>
        <w:rPr>
          <w:rFonts w:cs="Arial"/>
          <w:b/>
          <w:sz w:val="22"/>
          <w:lang w:val="hr-HR"/>
        </w:rPr>
      </w:pPr>
    </w:p>
    <w:p w:rsidR="009C5F27" w:rsidRDefault="009C5F27">
      <w:pPr>
        <w:jc w:val="both"/>
        <w:rPr>
          <w:rFonts w:cs="Arial"/>
          <w:b/>
          <w:sz w:val="22"/>
          <w:lang w:val="hr-HR"/>
        </w:rPr>
      </w:pPr>
    </w:p>
    <w:p w:rsidR="009C5F27" w:rsidRDefault="009C5F27">
      <w:pPr>
        <w:jc w:val="both"/>
        <w:rPr>
          <w:rFonts w:cs="Arial"/>
          <w:lang w:val="hr-HR"/>
        </w:rPr>
      </w:pPr>
    </w:p>
    <w:p w:rsidR="009C5F27" w:rsidRDefault="009C5F27">
      <w:pPr>
        <w:jc w:val="both"/>
        <w:rPr>
          <w:rFonts w:cs="Arial"/>
          <w:lang w:val="hr-HR"/>
        </w:rPr>
      </w:pPr>
    </w:p>
    <w:p w:rsidR="009C5F27" w:rsidRDefault="009C5F27">
      <w:pPr>
        <w:pStyle w:val="Normal-Courier10"/>
      </w:pPr>
    </w:p>
    <w:p w:rsidR="009C5F27" w:rsidRDefault="009C5F27">
      <w:pPr>
        <w:jc w:val="both"/>
        <w:rPr>
          <w:rFonts w:cs="Arial"/>
          <w:sz w:val="22"/>
          <w:lang w:val="hr-HR"/>
        </w:rPr>
      </w:pPr>
    </w:p>
    <w:p w:rsidR="009C5F27" w:rsidRDefault="009C5F27">
      <w:pPr>
        <w:jc w:val="both"/>
        <w:rPr>
          <w:rFonts w:cs="Arial"/>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5148"/>
        <w:gridCol w:w="1890"/>
      </w:tblGrid>
      <w:tr w:rsidR="009C5F27">
        <w:tc>
          <w:tcPr>
            <w:tcW w:w="720" w:type="dxa"/>
            <w:shd w:val="clear" w:color="auto" w:fill="DAEEF3"/>
          </w:tcPr>
          <w:p w:rsidR="009C5F27" w:rsidRDefault="00B56235">
            <w:pPr>
              <w:spacing w:line="360" w:lineRule="auto"/>
              <w:jc w:val="center"/>
              <w:rPr>
                <w:rFonts w:cs="Arial"/>
                <w:szCs w:val="22"/>
              </w:rPr>
            </w:pPr>
            <w:r>
              <w:t>Ред.:</w:t>
            </w:r>
          </w:p>
        </w:tc>
        <w:tc>
          <w:tcPr>
            <w:tcW w:w="1440" w:type="dxa"/>
            <w:shd w:val="clear" w:color="auto" w:fill="DAEEF3"/>
          </w:tcPr>
          <w:p w:rsidR="009C5F27" w:rsidRDefault="00B56235">
            <w:pPr>
              <w:spacing w:line="360" w:lineRule="auto"/>
              <w:jc w:val="center"/>
              <w:rPr>
                <w:rFonts w:cs="Arial"/>
                <w:szCs w:val="22"/>
              </w:rPr>
            </w:pPr>
            <w:r>
              <w:t>Дата:</w:t>
            </w:r>
          </w:p>
        </w:tc>
        <w:tc>
          <w:tcPr>
            <w:tcW w:w="5148" w:type="dxa"/>
            <w:shd w:val="clear" w:color="auto" w:fill="DAEEF3"/>
          </w:tcPr>
          <w:p w:rsidR="009C5F27" w:rsidRDefault="00B56235">
            <w:pPr>
              <w:spacing w:line="360" w:lineRule="auto"/>
              <w:rPr>
                <w:rFonts w:cs="Arial"/>
                <w:szCs w:val="22"/>
              </w:rPr>
            </w:pPr>
            <w:r>
              <w:t>Описание на промяната</w:t>
            </w:r>
          </w:p>
        </w:tc>
        <w:tc>
          <w:tcPr>
            <w:tcW w:w="1890" w:type="dxa"/>
            <w:shd w:val="clear" w:color="auto" w:fill="DAEEF3"/>
          </w:tcPr>
          <w:p w:rsidR="009C5F27" w:rsidRDefault="00B56235">
            <w:pPr>
              <w:spacing w:line="360" w:lineRule="auto"/>
              <w:jc w:val="center"/>
              <w:rPr>
                <w:rFonts w:cs="Arial"/>
                <w:szCs w:val="22"/>
              </w:rPr>
            </w:pPr>
            <w:r>
              <w:t>Автор</w:t>
            </w:r>
          </w:p>
        </w:tc>
      </w:tr>
      <w:tr w:rsidR="009C5F27">
        <w:tc>
          <w:tcPr>
            <w:tcW w:w="720" w:type="dxa"/>
          </w:tcPr>
          <w:p w:rsidR="009C5F27" w:rsidRDefault="00B56235">
            <w:pPr>
              <w:spacing w:line="360" w:lineRule="auto"/>
              <w:jc w:val="center"/>
              <w:rPr>
                <w:rFonts w:cs="Arial"/>
                <w:sz w:val="16"/>
                <w:szCs w:val="16"/>
              </w:rPr>
            </w:pPr>
            <w:r>
              <w:rPr>
                <w:sz w:val="16"/>
                <w:szCs w:val="16"/>
              </w:rPr>
              <w:t>0</w:t>
            </w:r>
          </w:p>
        </w:tc>
        <w:tc>
          <w:tcPr>
            <w:tcW w:w="1440" w:type="dxa"/>
          </w:tcPr>
          <w:p w:rsidR="009C5F27" w:rsidRDefault="00B56235">
            <w:pPr>
              <w:spacing w:line="360" w:lineRule="auto"/>
              <w:jc w:val="center"/>
              <w:rPr>
                <w:rFonts w:cs="Arial"/>
                <w:sz w:val="16"/>
                <w:szCs w:val="16"/>
              </w:rPr>
            </w:pPr>
            <w:r>
              <w:rPr>
                <w:sz w:val="16"/>
                <w:szCs w:val="16"/>
              </w:rPr>
              <w:t>16 ноември 2018</w:t>
            </w:r>
            <w:r>
              <w:rPr>
                <w:sz w:val="16"/>
                <w:szCs w:val="16"/>
                <w:lang w:val="en-US"/>
              </w:rPr>
              <w:t xml:space="preserve"> </w:t>
            </w:r>
            <w:r>
              <w:rPr>
                <w:sz w:val="16"/>
                <w:szCs w:val="16"/>
              </w:rPr>
              <w:t>г.</w:t>
            </w:r>
          </w:p>
        </w:tc>
        <w:tc>
          <w:tcPr>
            <w:tcW w:w="5148" w:type="dxa"/>
          </w:tcPr>
          <w:p w:rsidR="009C5F27" w:rsidRDefault="00B56235">
            <w:pPr>
              <w:spacing w:line="360" w:lineRule="auto"/>
              <w:rPr>
                <w:rFonts w:cs="Arial"/>
                <w:sz w:val="16"/>
                <w:szCs w:val="16"/>
              </w:rPr>
            </w:pPr>
            <w:r>
              <w:rPr>
                <w:sz w:val="16"/>
                <w:szCs w:val="16"/>
              </w:rPr>
              <w:t>Първоначална версия</w:t>
            </w:r>
          </w:p>
        </w:tc>
        <w:tc>
          <w:tcPr>
            <w:tcW w:w="1890" w:type="dxa"/>
          </w:tcPr>
          <w:p w:rsidR="009C5F27" w:rsidRDefault="00B56235">
            <w:pPr>
              <w:spacing w:line="360" w:lineRule="auto"/>
              <w:jc w:val="center"/>
              <w:rPr>
                <w:rFonts w:cs="Arial"/>
                <w:sz w:val="16"/>
                <w:szCs w:val="16"/>
              </w:rPr>
            </w:pPr>
            <w:proofErr w:type="spellStart"/>
            <w:r>
              <w:rPr>
                <w:rFonts w:ascii="Swis721 BT" w:hAnsi="Swis721 BT"/>
                <w:sz w:val="18"/>
              </w:rPr>
              <w:t>Marko</w:t>
            </w:r>
            <w:proofErr w:type="spellEnd"/>
            <w:r>
              <w:rPr>
                <w:rFonts w:ascii="Swis721 BT" w:hAnsi="Swis721 BT"/>
                <w:sz w:val="18"/>
              </w:rPr>
              <w:t xml:space="preserve"> </w:t>
            </w:r>
            <w:proofErr w:type="spellStart"/>
            <w:r>
              <w:rPr>
                <w:rFonts w:ascii="Swis721 BT" w:hAnsi="Swis721 BT"/>
                <w:sz w:val="18"/>
              </w:rPr>
              <w:t>Žikić</w:t>
            </w:r>
            <w:proofErr w:type="spellEnd"/>
          </w:p>
        </w:tc>
      </w:tr>
      <w:tr w:rsidR="009C5F27">
        <w:tc>
          <w:tcPr>
            <w:tcW w:w="720" w:type="dxa"/>
          </w:tcPr>
          <w:p w:rsidR="009C5F27" w:rsidRDefault="00B56235">
            <w:pPr>
              <w:spacing w:line="360" w:lineRule="auto"/>
              <w:jc w:val="center"/>
              <w:rPr>
                <w:rFonts w:cs="Arial"/>
                <w:sz w:val="16"/>
                <w:szCs w:val="16"/>
              </w:rPr>
            </w:pPr>
            <w:r>
              <w:rPr>
                <w:sz w:val="16"/>
                <w:szCs w:val="16"/>
              </w:rPr>
              <w:t>1</w:t>
            </w:r>
          </w:p>
        </w:tc>
        <w:tc>
          <w:tcPr>
            <w:tcW w:w="1440" w:type="dxa"/>
          </w:tcPr>
          <w:p w:rsidR="009C5F27" w:rsidRDefault="00B56235">
            <w:pPr>
              <w:spacing w:line="360" w:lineRule="auto"/>
              <w:jc w:val="center"/>
              <w:rPr>
                <w:rFonts w:cs="Arial"/>
                <w:sz w:val="16"/>
                <w:szCs w:val="16"/>
              </w:rPr>
            </w:pPr>
            <w:r>
              <w:rPr>
                <w:sz w:val="16"/>
                <w:szCs w:val="16"/>
              </w:rPr>
              <w:t>27 февруари</w:t>
            </w:r>
          </w:p>
          <w:p w:rsidR="009C5F27" w:rsidRDefault="00B56235">
            <w:pPr>
              <w:spacing w:line="360" w:lineRule="auto"/>
              <w:jc w:val="center"/>
              <w:rPr>
                <w:rFonts w:cs="Arial"/>
                <w:sz w:val="16"/>
                <w:szCs w:val="16"/>
              </w:rPr>
            </w:pPr>
            <w:r>
              <w:rPr>
                <w:sz w:val="16"/>
                <w:szCs w:val="16"/>
              </w:rPr>
              <w:t>2019 г.</w:t>
            </w:r>
          </w:p>
        </w:tc>
        <w:tc>
          <w:tcPr>
            <w:tcW w:w="5148" w:type="dxa"/>
          </w:tcPr>
          <w:p w:rsidR="009C5F27" w:rsidRDefault="00B56235">
            <w:pPr>
              <w:spacing w:line="360" w:lineRule="auto"/>
              <w:rPr>
                <w:rFonts w:cs="Arial"/>
                <w:sz w:val="16"/>
                <w:szCs w:val="16"/>
              </w:rPr>
            </w:pPr>
            <w:r>
              <w:rPr>
                <w:sz w:val="16"/>
                <w:szCs w:val="16"/>
              </w:rPr>
              <w:t>Актуализиране на модул Основни данни</w:t>
            </w:r>
          </w:p>
        </w:tc>
        <w:tc>
          <w:tcPr>
            <w:tcW w:w="1890" w:type="dxa"/>
          </w:tcPr>
          <w:p w:rsidR="009C5F27" w:rsidRDefault="00B56235">
            <w:pPr>
              <w:spacing w:line="360" w:lineRule="auto"/>
              <w:jc w:val="center"/>
              <w:rPr>
                <w:rFonts w:cs="Arial"/>
                <w:sz w:val="16"/>
                <w:szCs w:val="16"/>
              </w:rPr>
            </w:pPr>
            <w:proofErr w:type="spellStart"/>
            <w:r>
              <w:rPr>
                <w:rFonts w:ascii="Swis721 BT" w:hAnsi="Swis721 BT"/>
                <w:sz w:val="18"/>
              </w:rPr>
              <w:t>Krunoslav</w:t>
            </w:r>
            <w:proofErr w:type="spellEnd"/>
            <w:r>
              <w:rPr>
                <w:rFonts w:ascii="Swis721 BT" w:hAnsi="Swis721 BT"/>
                <w:sz w:val="18"/>
              </w:rPr>
              <w:t xml:space="preserve"> </w:t>
            </w:r>
            <w:proofErr w:type="spellStart"/>
            <w:r>
              <w:rPr>
                <w:rFonts w:ascii="Swis721 BT" w:hAnsi="Swis721 BT"/>
                <w:sz w:val="18"/>
              </w:rPr>
              <w:t>Rajčić</w:t>
            </w:r>
            <w:proofErr w:type="spellEnd"/>
          </w:p>
        </w:tc>
      </w:tr>
      <w:tr w:rsidR="009C5F27">
        <w:trPr>
          <w:trHeight w:val="241"/>
        </w:trPr>
        <w:tc>
          <w:tcPr>
            <w:tcW w:w="720" w:type="dxa"/>
          </w:tcPr>
          <w:p w:rsidR="009C5F27" w:rsidRDefault="009C5F27">
            <w:pPr>
              <w:spacing w:line="360" w:lineRule="auto"/>
              <w:jc w:val="center"/>
              <w:rPr>
                <w:rFonts w:cs="Arial"/>
                <w:sz w:val="16"/>
                <w:szCs w:val="16"/>
                <w:lang w:val="hr-HR"/>
              </w:rPr>
            </w:pPr>
          </w:p>
        </w:tc>
        <w:tc>
          <w:tcPr>
            <w:tcW w:w="1440" w:type="dxa"/>
          </w:tcPr>
          <w:p w:rsidR="009C5F27" w:rsidRDefault="009C5F27">
            <w:pPr>
              <w:spacing w:line="360" w:lineRule="auto"/>
              <w:jc w:val="center"/>
              <w:rPr>
                <w:rFonts w:cs="Arial"/>
                <w:sz w:val="16"/>
                <w:szCs w:val="16"/>
                <w:lang w:val="hr-HR"/>
              </w:rPr>
            </w:pPr>
          </w:p>
        </w:tc>
        <w:tc>
          <w:tcPr>
            <w:tcW w:w="5148" w:type="dxa"/>
          </w:tcPr>
          <w:p w:rsidR="009C5F27" w:rsidRDefault="009C5F27">
            <w:pPr>
              <w:spacing w:line="360" w:lineRule="auto"/>
              <w:rPr>
                <w:rFonts w:cs="Arial"/>
                <w:sz w:val="16"/>
                <w:szCs w:val="16"/>
                <w:lang w:val="hr-HR"/>
              </w:rPr>
            </w:pPr>
          </w:p>
        </w:tc>
        <w:tc>
          <w:tcPr>
            <w:tcW w:w="1890" w:type="dxa"/>
          </w:tcPr>
          <w:p w:rsidR="009C5F27" w:rsidRDefault="009C5F27">
            <w:pPr>
              <w:spacing w:line="360" w:lineRule="auto"/>
              <w:jc w:val="center"/>
              <w:rPr>
                <w:rFonts w:cs="Arial"/>
                <w:sz w:val="16"/>
                <w:szCs w:val="16"/>
                <w:lang w:val="hr-HR"/>
              </w:rPr>
            </w:pPr>
          </w:p>
        </w:tc>
      </w:tr>
      <w:tr w:rsidR="009C5F27">
        <w:trPr>
          <w:trHeight w:val="241"/>
        </w:trPr>
        <w:tc>
          <w:tcPr>
            <w:tcW w:w="720" w:type="dxa"/>
          </w:tcPr>
          <w:p w:rsidR="009C5F27" w:rsidRDefault="009C5F27">
            <w:pPr>
              <w:spacing w:line="360" w:lineRule="auto"/>
              <w:jc w:val="center"/>
              <w:rPr>
                <w:rFonts w:cs="Arial"/>
                <w:sz w:val="16"/>
                <w:szCs w:val="16"/>
                <w:lang w:val="hr-HR"/>
              </w:rPr>
            </w:pPr>
          </w:p>
        </w:tc>
        <w:tc>
          <w:tcPr>
            <w:tcW w:w="1440" w:type="dxa"/>
          </w:tcPr>
          <w:p w:rsidR="009C5F27" w:rsidRDefault="009C5F27">
            <w:pPr>
              <w:spacing w:line="360" w:lineRule="auto"/>
              <w:jc w:val="center"/>
              <w:rPr>
                <w:rFonts w:cs="Arial"/>
                <w:sz w:val="16"/>
                <w:szCs w:val="16"/>
                <w:lang w:val="hr-HR"/>
              </w:rPr>
            </w:pPr>
          </w:p>
        </w:tc>
        <w:tc>
          <w:tcPr>
            <w:tcW w:w="5148" w:type="dxa"/>
          </w:tcPr>
          <w:p w:rsidR="009C5F27" w:rsidRDefault="009C5F27">
            <w:pPr>
              <w:spacing w:line="360" w:lineRule="auto"/>
              <w:rPr>
                <w:rFonts w:cs="Arial"/>
                <w:sz w:val="16"/>
                <w:szCs w:val="16"/>
                <w:lang w:val="hr-HR"/>
              </w:rPr>
            </w:pPr>
          </w:p>
        </w:tc>
        <w:tc>
          <w:tcPr>
            <w:tcW w:w="1890" w:type="dxa"/>
          </w:tcPr>
          <w:p w:rsidR="009C5F27" w:rsidRDefault="009C5F27">
            <w:pPr>
              <w:spacing w:line="360" w:lineRule="auto"/>
              <w:jc w:val="center"/>
              <w:rPr>
                <w:rFonts w:cs="Arial"/>
                <w:sz w:val="16"/>
                <w:szCs w:val="16"/>
                <w:lang w:val="hr-HR"/>
              </w:rPr>
            </w:pPr>
          </w:p>
        </w:tc>
      </w:tr>
    </w:tbl>
    <w:p w:rsidR="009C5F27" w:rsidRDefault="009C5F27">
      <w:pPr>
        <w:jc w:val="both"/>
        <w:rPr>
          <w:rFonts w:cs="Arial"/>
          <w:sz w:val="22"/>
          <w:lang w:val="hr-HR"/>
        </w:rPr>
      </w:pPr>
    </w:p>
    <w:p w:rsidR="009C5F27" w:rsidRDefault="009C5F27">
      <w:pPr>
        <w:jc w:val="both"/>
        <w:rPr>
          <w:rFonts w:cs="Arial"/>
          <w:sz w:val="22"/>
          <w:lang w:val="hr-H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381"/>
        <w:gridCol w:w="2381"/>
        <w:gridCol w:w="2381"/>
        <w:gridCol w:w="2381"/>
      </w:tblGrid>
      <w:tr w:rsidR="009C5F27">
        <w:trPr>
          <w:cantSplit/>
          <w:trHeight w:val="720"/>
          <w:jc w:val="center"/>
        </w:trPr>
        <w:tc>
          <w:tcPr>
            <w:tcW w:w="2381" w:type="dxa"/>
          </w:tcPr>
          <w:p w:rsidR="009C5F27" w:rsidRPr="006049D4" w:rsidRDefault="00B56235">
            <w:pPr>
              <w:pStyle w:val="Footer"/>
              <w:rPr>
                <w:rFonts w:cs="Arial"/>
                <w:sz w:val="18"/>
              </w:rPr>
            </w:pPr>
            <w:r w:rsidRPr="006049D4">
              <w:rPr>
                <w:rFonts w:cs="Arial" w:hint="eastAsia"/>
                <w:sz w:val="18"/>
              </w:rPr>
              <w:t>Изготвено</w:t>
            </w:r>
            <w:r w:rsidRPr="006049D4">
              <w:rPr>
                <w:rFonts w:cs="Arial"/>
                <w:sz w:val="18"/>
              </w:rPr>
              <w:t xml:space="preserve"> </w:t>
            </w:r>
            <w:r w:rsidRPr="006049D4">
              <w:rPr>
                <w:rFonts w:cs="Arial" w:hint="eastAsia"/>
                <w:sz w:val="18"/>
              </w:rPr>
              <w:t>от</w:t>
            </w:r>
            <w:r w:rsidRPr="006049D4">
              <w:rPr>
                <w:rFonts w:cs="Arial"/>
                <w:sz w:val="18"/>
              </w:rPr>
              <w:t>:</w:t>
            </w:r>
          </w:p>
          <w:p w:rsidR="009C5F27" w:rsidRPr="006049D4" w:rsidRDefault="009C5F27">
            <w:pPr>
              <w:pStyle w:val="Footer"/>
              <w:rPr>
                <w:rFonts w:cs="Arial"/>
                <w:sz w:val="18"/>
              </w:rPr>
            </w:pPr>
          </w:p>
          <w:p w:rsidR="009C5F27" w:rsidRPr="006049D4" w:rsidRDefault="00B56235">
            <w:pPr>
              <w:pStyle w:val="Footer"/>
              <w:rPr>
                <w:rFonts w:cs="Arial"/>
                <w:sz w:val="18"/>
              </w:rPr>
            </w:pPr>
            <w:proofErr w:type="spellStart"/>
            <w:r w:rsidRPr="006049D4">
              <w:rPr>
                <w:rFonts w:cs="Arial"/>
                <w:sz w:val="18"/>
              </w:rPr>
              <w:t>Marko</w:t>
            </w:r>
            <w:proofErr w:type="spellEnd"/>
            <w:r w:rsidRPr="006049D4">
              <w:rPr>
                <w:rFonts w:cs="Arial"/>
                <w:sz w:val="18"/>
              </w:rPr>
              <w:t xml:space="preserve"> </w:t>
            </w:r>
            <w:proofErr w:type="spellStart"/>
            <w:r w:rsidRPr="006049D4">
              <w:rPr>
                <w:rFonts w:cs="Arial"/>
                <w:sz w:val="18"/>
              </w:rPr>
              <w:t>Žikić</w:t>
            </w:r>
            <w:proofErr w:type="spellEnd"/>
            <w:r w:rsidRPr="006049D4">
              <w:rPr>
                <w:rFonts w:cs="Arial"/>
                <w:sz w:val="18"/>
              </w:rPr>
              <w:t xml:space="preserve">, </w:t>
            </w:r>
            <w:proofErr w:type="spellStart"/>
            <w:r w:rsidRPr="006049D4">
              <w:rPr>
                <w:rFonts w:cs="Arial"/>
                <w:sz w:val="18"/>
              </w:rPr>
              <w:t>Krunoslav</w:t>
            </w:r>
            <w:proofErr w:type="spellEnd"/>
            <w:r w:rsidRPr="006049D4">
              <w:rPr>
                <w:rFonts w:cs="Arial"/>
                <w:sz w:val="18"/>
              </w:rPr>
              <w:t xml:space="preserve"> </w:t>
            </w:r>
            <w:proofErr w:type="spellStart"/>
            <w:r w:rsidRPr="006049D4">
              <w:rPr>
                <w:rFonts w:cs="Arial"/>
                <w:sz w:val="18"/>
              </w:rPr>
              <w:t>Rajčić</w:t>
            </w:r>
            <w:proofErr w:type="spellEnd"/>
          </w:p>
        </w:tc>
        <w:tc>
          <w:tcPr>
            <w:tcW w:w="2381" w:type="dxa"/>
          </w:tcPr>
          <w:p w:rsidR="009C5F27" w:rsidRPr="006049D4" w:rsidRDefault="00B56235">
            <w:pPr>
              <w:pStyle w:val="Footer"/>
              <w:rPr>
                <w:rFonts w:cs="Arial"/>
                <w:sz w:val="18"/>
              </w:rPr>
            </w:pPr>
            <w:r w:rsidRPr="006049D4">
              <w:rPr>
                <w:rFonts w:cs="Arial" w:hint="eastAsia"/>
                <w:sz w:val="18"/>
              </w:rPr>
              <w:t>Прегледано</w:t>
            </w:r>
            <w:r w:rsidRPr="006049D4">
              <w:rPr>
                <w:rFonts w:cs="Arial"/>
                <w:sz w:val="18"/>
              </w:rPr>
              <w:t xml:space="preserve"> </w:t>
            </w:r>
            <w:r w:rsidRPr="006049D4">
              <w:rPr>
                <w:rFonts w:cs="Arial" w:hint="eastAsia"/>
                <w:sz w:val="18"/>
              </w:rPr>
              <w:t>от</w:t>
            </w:r>
            <w:r w:rsidRPr="006049D4">
              <w:rPr>
                <w:rFonts w:cs="Arial"/>
                <w:sz w:val="18"/>
              </w:rPr>
              <w:t>:</w:t>
            </w:r>
          </w:p>
          <w:p w:rsidR="009C5F27" w:rsidRPr="006049D4" w:rsidRDefault="009C5F27">
            <w:pPr>
              <w:pStyle w:val="Footer"/>
              <w:rPr>
                <w:rFonts w:cs="Arial"/>
                <w:sz w:val="18"/>
              </w:rPr>
            </w:pPr>
          </w:p>
          <w:p w:rsidR="009C5F27" w:rsidRPr="006049D4" w:rsidRDefault="00B56235">
            <w:pPr>
              <w:pStyle w:val="Footer"/>
              <w:rPr>
                <w:rFonts w:cs="Arial"/>
                <w:sz w:val="18"/>
              </w:rPr>
            </w:pPr>
            <w:proofErr w:type="spellStart"/>
            <w:r w:rsidRPr="006049D4">
              <w:rPr>
                <w:rFonts w:cs="Arial"/>
                <w:sz w:val="18"/>
              </w:rPr>
              <w:t>Aleksandar</w:t>
            </w:r>
            <w:proofErr w:type="spellEnd"/>
            <w:r w:rsidRPr="006049D4">
              <w:rPr>
                <w:rFonts w:cs="Arial"/>
                <w:sz w:val="18"/>
              </w:rPr>
              <w:t xml:space="preserve"> </w:t>
            </w:r>
            <w:proofErr w:type="spellStart"/>
            <w:r w:rsidRPr="006049D4">
              <w:rPr>
                <w:rFonts w:cs="Arial"/>
                <w:sz w:val="18"/>
              </w:rPr>
              <w:t>Iđoški</w:t>
            </w:r>
            <w:proofErr w:type="spellEnd"/>
          </w:p>
        </w:tc>
        <w:tc>
          <w:tcPr>
            <w:tcW w:w="2381" w:type="dxa"/>
          </w:tcPr>
          <w:p w:rsidR="009C5F27" w:rsidRPr="006049D4" w:rsidRDefault="00B56235">
            <w:pPr>
              <w:pStyle w:val="Footer"/>
              <w:rPr>
                <w:rFonts w:cs="Arial"/>
                <w:sz w:val="18"/>
              </w:rPr>
            </w:pPr>
            <w:r w:rsidRPr="006049D4">
              <w:rPr>
                <w:rFonts w:cs="Arial" w:hint="eastAsia"/>
                <w:sz w:val="18"/>
              </w:rPr>
              <w:t>Одобрено</w:t>
            </w:r>
            <w:r w:rsidRPr="006049D4">
              <w:rPr>
                <w:rFonts w:cs="Arial"/>
                <w:sz w:val="18"/>
              </w:rPr>
              <w:t xml:space="preserve"> </w:t>
            </w:r>
            <w:r w:rsidRPr="006049D4">
              <w:rPr>
                <w:rFonts w:cs="Arial" w:hint="eastAsia"/>
                <w:sz w:val="18"/>
              </w:rPr>
              <w:t>от</w:t>
            </w:r>
            <w:r w:rsidRPr="006049D4">
              <w:rPr>
                <w:rFonts w:cs="Arial"/>
                <w:sz w:val="18"/>
              </w:rPr>
              <w:t>:</w:t>
            </w:r>
          </w:p>
          <w:p w:rsidR="009C5F27" w:rsidRPr="006049D4" w:rsidRDefault="009C5F27">
            <w:pPr>
              <w:pStyle w:val="Footer"/>
              <w:rPr>
                <w:rFonts w:cs="Arial"/>
                <w:sz w:val="18"/>
              </w:rPr>
            </w:pPr>
          </w:p>
          <w:p w:rsidR="009C5F27" w:rsidRPr="006049D4" w:rsidRDefault="00B56235">
            <w:pPr>
              <w:pStyle w:val="Footer"/>
              <w:rPr>
                <w:rFonts w:cs="Arial"/>
                <w:sz w:val="18"/>
              </w:rPr>
            </w:pPr>
            <w:proofErr w:type="spellStart"/>
            <w:r w:rsidRPr="006049D4">
              <w:rPr>
                <w:rFonts w:cs="Arial"/>
                <w:sz w:val="18"/>
              </w:rPr>
              <w:t>Aleksandar</w:t>
            </w:r>
            <w:proofErr w:type="spellEnd"/>
            <w:r w:rsidRPr="006049D4">
              <w:rPr>
                <w:rFonts w:cs="Arial"/>
                <w:sz w:val="18"/>
              </w:rPr>
              <w:t xml:space="preserve"> </w:t>
            </w:r>
            <w:proofErr w:type="spellStart"/>
            <w:r w:rsidRPr="006049D4">
              <w:rPr>
                <w:rFonts w:cs="Arial"/>
                <w:sz w:val="18"/>
              </w:rPr>
              <w:t>Iđoški</w:t>
            </w:r>
            <w:proofErr w:type="spellEnd"/>
          </w:p>
        </w:tc>
        <w:tc>
          <w:tcPr>
            <w:tcW w:w="2381" w:type="dxa"/>
          </w:tcPr>
          <w:p w:rsidR="009C5F27" w:rsidRPr="006049D4" w:rsidRDefault="00B56235">
            <w:pPr>
              <w:pStyle w:val="Footer"/>
              <w:rPr>
                <w:rFonts w:cs="Arial"/>
                <w:sz w:val="18"/>
              </w:rPr>
            </w:pPr>
            <w:r w:rsidRPr="006049D4">
              <w:rPr>
                <w:rFonts w:cs="Arial" w:hint="eastAsia"/>
                <w:sz w:val="18"/>
              </w:rPr>
              <w:t>Дата</w:t>
            </w:r>
          </w:p>
          <w:p w:rsidR="009C5F27" w:rsidRPr="006049D4" w:rsidRDefault="009C5F27">
            <w:pPr>
              <w:pStyle w:val="Footer"/>
              <w:rPr>
                <w:rFonts w:cs="Arial"/>
                <w:sz w:val="18"/>
              </w:rPr>
            </w:pPr>
          </w:p>
          <w:p w:rsidR="009C5F27" w:rsidRPr="006049D4" w:rsidRDefault="00B56235">
            <w:pPr>
              <w:pStyle w:val="Footer"/>
              <w:rPr>
                <w:rFonts w:cs="Arial"/>
                <w:sz w:val="18"/>
              </w:rPr>
            </w:pPr>
            <w:r w:rsidRPr="006049D4">
              <w:rPr>
                <w:rFonts w:cs="Arial"/>
                <w:sz w:val="18"/>
              </w:rPr>
              <w:t xml:space="preserve">27 </w:t>
            </w:r>
            <w:r w:rsidRPr="006049D4">
              <w:rPr>
                <w:rFonts w:cs="Arial" w:hint="eastAsia"/>
                <w:sz w:val="18"/>
              </w:rPr>
              <w:t>февруари</w:t>
            </w:r>
            <w:r w:rsidRPr="006049D4">
              <w:rPr>
                <w:rFonts w:cs="Arial"/>
                <w:sz w:val="18"/>
              </w:rPr>
              <w:t xml:space="preserve"> 2019</w:t>
            </w:r>
            <w:r>
              <w:rPr>
                <w:rFonts w:cs="Arial"/>
                <w:sz w:val="18"/>
              </w:rPr>
              <w:t xml:space="preserve"> г.</w:t>
            </w:r>
          </w:p>
        </w:tc>
      </w:tr>
    </w:tbl>
    <w:p w:rsidR="009C5F27" w:rsidRDefault="009C5F27">
      <w:pPr>
        <w:rPr>
          <w:rFonts w:ascii="Arial Bold" w:hAnsi="Arial Bold" w:cs="Arial"/>
          <w:b/>
          <w:caps/>
          <w:kern w:val="28"/>
          <w:sz w:val="28"/>
          <w:szCs w:val="28"/>
        </w:rPr>
      </w:pPr>
      <w:bookmarkStart w:id="0" w:name="_Toc313014091"/>
      <w:bookmarkStart w:id="1" w:name="_Toc314559343"/>
      <w:bookmarkStart w:id="2" w:name="_Toc314559866"/>
      <w:bookmarkStart w:id="3" w:name="_Toc314565321"/>
      <w:bookmarkStart w:id="4" w:name="_Toc384632875"/>
      <w:bookmarkStart w:id="5" w:name="_Toc406075814"/>
      <w:bookmarkStart w:id="6" w:name="_Toc407182160"/>
      <w:bookmarkStart w:id="7" w:name="_Toc407337399"/>
      <w:bookmarkStart w:id="8" w:name="_Toc407495567"/>
      <w:bookmarkStart w:id="9" w:name="_Toc407495585"/>
      <w:bookmarkStart w:id="10" w:name="_Toc407495853"/>
      <w:bookmarkStart w:id="11" w:name="_Toc407496332"/>
      <w:bookmarkStart w:id="12" w:name="_Toc407496576"/>
      <w:bookmarkStart w:id="13" w:name="_Toc313014094"/>
      <w:bookmarkStart w:id="14" w:name="_Toc314559346"/>
      <w:bookmarkStart w:id="15" w:name="_Toc314559869"/>
      <w:bookmarkStart w:id="16" w:name="_Toc314565324"/>
      <w:bookmarkStart w:id="17" w:name="_Toc384632878"/>
      <w:bookmarkStart w:id="18" w:name="_Toc4060758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9C5F27" w:rsidRDefault="009C5F27">
      <w:pPr>
        <w:rPr>
          <w:rFonts w:ascii="Arial Bold" w:hAnsi="Arial Bold" w:cs="Arial"/>
          <w:b/>
          <w:caps/>
          <w:kern w:val="28"/>
          <w:sz w:val="28"/>
          <w:szCs w:val="28"/>
          <w:lang w:val="hr-HR"/>
        </w:rPr>
      </w:pPr>
    </w:p>
    <w:p w:rsidR="009C5F27" w:rsidRDefault="009C5F27">
      <w:pPr>
        <w:rPr>
          <w:rFonts w:ascii="Arial Bold" w:hAnsi="Arial Bold" w:cs="Arial"/>
          <w:b/>
          <w:caps/>
          <w:kern w:val="28"/>
          <w:sz w:val="28"/>
          <w:szCs w:val="28"/>
          <w:lang w:val="hr-HR"/>
        </w:rPr>
      </w:pPr>
    </w:p>
    <w:p w:rsidR="009C5F27" w:rsidRDefault="009C5F27">
      <w:pPr>
        <w:rPr>
          <w:rFonts w:ascii="Arial Bold" w:hAnsi="Arial Bold" w:cs="Arial"/>
          <w:b/>
          <w:caps/>
          <w:kern w:val="28"/>
          <w:sz w:val="28"/>
          <w:szCs w:val="28"/>
          <w:lang w:val="hr-HR"/>
        </w:rPr>
      </w:pPr>
    </w:p>
    <w:p w:rsidR="009C5F27" w:rsidRDefault="009C5F27">
      <w:pPr>
        <w:rPr>
          <w:rFonts w:ascii="Arial Bold" w:hAnsi="Arial Bold" w:cs="Arial"/>
          <w:b/>
          <w:caps/>
          <w:kern w:val="28"/>
          <w:sz w:val="28"/>
          <w:szCs w:val="28"/>
          <w:lang w:val="hr-HR"/>
        </w:rPr>
      </w:pPr>
    </w:p>
    <w:p w:rsidR="009C5F27" w:rsidRDefault="009C5F27">
      <w:pPr>
        <w:rPr>
          <w:rFonts w:ascii="Arial Bold" w:hAnsi="Arial Bold" w:cs="Arial"/>
          <w:b/>
          <w:caps/>
          <w:kern w:val="28"/>
          <w:sz w:val="28"/>
          <w:szCs w:val="28"/>
          <w:lang w:val="hr-HR"/>
        </w:rPr>
      </w:pPr>
    </w:p>
    <w:p w:rsidR="009C5F27" w:rsidRDefault="00B56235">
      <w:pPr>
        <w:pStyle w:val="Heading1"/>
      </w:pPr>
      <w:bookmarkStart w:id="19" w:name="_Toc10122888"/>
      <w:r>
        <w:t>ВЪВЕДЕНИЕ</w:t>
      </w:r>
      <w:bookmarkEnd w:id="19"/>
    </w:p>
    <w:p w:rsidR="009C5F27" w:rsidRDefault="00B56235">
      <w:pPr>
        <w:pStyle w:val="Heading2"/>
      </w:pPr>
      <w:bookmarkStart w:id="20" w:name="_Toc10122889"/>
      <w:r>
        <w:t>Цел</w:t>
      </w:r>
      <w:bookmarkEnd w:id="20"/>
    </w:p>
    <w:p w:rsidR="009C5F27" w:rsidRDefault="009C5F27">
      <w:pPr>
        <w:rPr>
          <w:rFonts w:ascii="Arial Bold" w:hAnsi="Arial Bold" w:cs="Arial"/>
          <w:b/>
          <w:caps/>
          <w:kern w:val="28"/>
          <w:sz w:val="28"/>
          <w:szCs w:val="28"/>
          <w:lang w:val="hr-HR"/>
        </w:rPr>
      </w:pPr>
    </w:p>
    <w:p w:rsidR="009C5F27" w:rsidRDefault="00B56235" w:rsidP="006049D4">
      <w:pPr>
        <w:jc w:val="both"/>
      </w:pPr>
      <w:r>
        <w:t>Този документ представя списък на всички функциите на приложението за системата за администриране на пазара.</w:t>
      </w:r>
    </w:p>
    <w:p w:rsidR="009C5F27" w:rsidRDefault="00B56235" w:rsidP="006049D4">
      <w:pPr>
        <w:jc w:val="both"/>
      </w:pPr>
      <w:r>
        <w:t>Документът е основно предназначен за пазарните участници, с оглед улесняване приемането на новите софтуерни функции.</w:t>
      </w:r>
    </w:p>
    <w:p w:rsidR="009C5F27" w:rsidRDefault="00B56235">
      <w:pPr>
        <w:pStyle w:val="Heading2"/>
      </w:pPr>
      <w:bookmarkStart w:id="21" w:name="_Toc10122890"/>
      <w:r>
        <w:t>Определения и съкращения</w:t>
      </w:r>
      <w:bookmarkEnd w:id="21"/>
    </w:p>
    <w:p w:rsidR="009C5F27" w:rsidRDefault="009C5F27">
      <w:pPr>
        <w:rPr>
          <w:rFonts w:ascii="Arial Bold" w:hAnsi="Arial Bold" w:cs="Arial"/>
          <w:b/>
          <w:caps/>
          <w:kern w:val="28"/>
          <w:sz w:val="28"/>
          <w:szCs w:val="28"/>
          <w:lang w:val="hr-HR"/>
        </w:rPr>
      </w:pPr>
    </w:p>
    <w:p w:rsidR="009C5F27" w:rsidRDefault="00B56235">
      <w:r>
        <w:t>CSV - Стойности с разделителна запетая</w:t>
      </w:r>
    </w:p>
    <w:p w:rsidR="009C5F27" w:rsidRDefault="00B56235">
      <w:r>
        <w:t>ATC -Разполагаема преносна способност</w:t>
      </w:r>
    </w:p>
    <w:p w:rsidR="009C5F27" w:rsidRDefault="00B56235">
      <w:r>
        <w:t>ARD – Документ за резултат от разпределяне</w:t>
      </w:r>
    </w:p>
    <w:p w:rsidR="009C5F27" w:rsidRDefault="00B56235">
      <w:pPr>
        <w:pStyle w:val="Heading2"/>
      </w:pPr>
      <w:bookmarkStart w:id="22" w:name="_Toc10122891"/>
      <w:r>
        <w:t>Преразглеждане</w:t>
      </w:r>
      <w:bookmarkEnd w:id="22"/>
    </w:p>
    <w:p w:rsidR="009C5F27" w:rsidRDefault="00B56235">
      <w:pPr>
        <w:pStyle w:val="Heading3"/>
      </w:pPr>
      <w:r>
        <w:t>Архитектура</w:t>
      </w:r>
    </w:p>
    <w:p w:rsidR="009C5F27" w:rsidRDefault="009C5F27">
      <w:pPr>
        <w:rPr>
          <w:rFonts w:ascii="Arial Bold" w:hAnsi="Arial Bold" w:cs="Arial"/>
          <w:b/>
          <w:caps/>
          <w:kern w:val="28"/>
          <w:sz w:val="28"/>
          <w:szCs w:val="28"/>
          <w:lang w:val="hr-HR"/>
        </w:rPr>
      </w:pPr>
    </w:p>
    <w:p w:rsidR="009C5F27" w:rsidRDefault="00B56235">
      <w:r>
        <w:t>Компонентите на системата са:</w:t>
      </w:r>
    </w:p>
    <w:p w:rsidR="009C5F27" w:rsidRDefault="00B56235">
      <w:pPr>
        <w:pStyle w:val="ListParagraph"/>
        <w:numPr>
          <w:ilvl w:val="0"/>
          <w:numId w:val="2"/>
        </w:numPr>
      </w:pPr>
      <w:r>
        <w:t>База данни</w:t>
      </w:r>
    </w:p>
    <w:p w:rsidR="009C5F27" w:rsidRDefault="00B56235">
      <w:pPr>
        <w:pStyle w:val="ListParagraph"/>
        <w:numPr>
          <w:ilvl w:val="1"/>
          <w:numId w:val="2"/>
        </w:numPr>
      </w:pPr>
      <w:r>
        <w:t>База данни MS SQL</w:t>
      </w:r>
    </w:p>
    <w:p w:rsidR="009C5F27" w:rsidRDefault="00B56235">
      <w:pPr>
        <w:pStyle w:val="ListParagraph"/>
        <w:numPr>
          <w:ilvl w:val="0"/>
          <w:numId w:val="2"/>
        </w:numPr>
      </w:pPr>
      <w:proofErr w:type="spellStart"/>
      <w:r>
        <w:t>Liferay</w:t>
      </w:r>
      <w:proofErr w:type="spellEnd"/>
      <w:r>
        <w:t xml:space="preserve"> </w:t>
      </w:r>
      <w:proofErr w:type="spellStart"/>
      <w:r>
        <w:t>Portal</w:t>
      </w:r>
      <w:proofErr w:type="spellEnd"/>
    </w:p>
    <w:p w:rsidR="009C5F27" w:rsidRDefault="009C5F27">
      <w:pPr>
        <w:rPr>
          <w:lang w:val="hr-HR"/>
        </w:rPr>
      </w:pPr>
    </w:p>
    <w:p w:rsidR="009C5F27" w:rsidRDefault="00B56235" w:rsidP="006049D4">
      <w:pPr>
        <w:jc w:val="both"/>
      </w:pPr>
      <w:r>
        <w:t xml:space="preserve">Потребителите на порталния сървър могат да използват някои от наличните стандартни уеб браузъри. Поддържат се Microsoft Internet Explorer, </w:t>
      </w:r>
      <w:proofErr w:type="spellStart"/>
      <w:r>
        <w:t>Google</w:t>
      </w:r>
      <w:proofErr w:type="spellEnd"/>
      <w:r>
        <w:t xml:space="preserve"> </w:t>
      </w:r>
      <w:proofErr w:type="spellStart"/>
      <w:r>
        <w:t>Chrome</w:t>
      </w:r>
      <w:proofErr w:type="spellEnd"/>
      <w:r>
        <w:t xml:space="preserve"> и </w:t>
      </w:r>
      <w:proofErr w:type="spellStart"/>
      <w:r>
        <w:t>Mozilla</w:t>
      </w:r>
      <w:proofErr w:type="spellEnd"/>
      <w:r>
        <w:t xml:space="preserve"> </w:t>
      </w:r>
      <w:proofErr w:type="spellStart"/>
      <w:r>
        <w:t>Firefox</w:t>
      </w:r>
      <w:proofErr w:type="spellEnd"/>
      <w:r>
        <w:t>. Архитектурата на порталния сървър позволява създадените уеб страници да изглеждат еднакво във всички уеб браузъри.</w:t>
      </w:r>
    </w:p>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9C5F27"/>
    <w:p w:rsidR="009C5F27" w:rsidRDefault="00B56235">
      <w:pPr>
        <w:pStyle w:val="Heading1"/>
      </w:pPr>
      <w:bookmarkStart w:id="23" w:name="_Toc10122892"/>
      <w:r>
        <w:t>СИСТЕМА</w:t>
      </w:r>
      <w:bookmarkEnd w:id="23"/>
    </w:p>
    <w:p w:rsidR="00D16B5E" w:rsidRDefault="00B56235" w:rsidP="00D16B5E">
      <w:r>
        <w:tab/>
        <w:t xml:space="preserve">Достъпът до системата за администриране на пазара се осъществява чрез следния линк: </w:t>
      </w:r>
      <w:hyperlink r:id="rId13" w:history="1">
        <w:r w:rsidR="00D16B5E" w:rsidRPr="00D16B5E">
          <w:rPr>
            <w:rStyle w:val="Hyperlink"/>
          </w:rPr>
          <w:t>https://webapps.eso.bg/esotst/</w:t>
        </w:r>
      </w:hyperlink>
    </w:p>
    <w:p w:rsidR="009C5F27" w:rsidRDefault="00B56235" w:rsidP="006049D4">
      <w:pPr>
        <w:jc w:val="both"/>
      </w:pPr>
      <w:r>
        <w:rPr>
          <w:color w:val="333333"/>
          <w:sz w:val="21"/>
          <w:szCs w:val="21"/>
          <w:shd w:val="clear" w:color="auto" w:fill="FFFFFF"/>
        </w:rPr>
        <w:t> </w:t>
      </w:r>
    </w:p>
    <w:p w:rsidR="009C5F27" w:rsidRDefault="00B56235">
      <w:pPr>
        <w:pStyle w:val="Heading2"/>
      </w:pPr>
      <w:bookmarkStart w:id="24" w:name="_Toc10122893"/>
      <w:r>
        <w:t>Избор на език</w:t>
      </w:r>
      <w:bookmarkEnd w:id="24"/>
    </w:p>
    <w:p w:rsidR="009C5F27" w:rsidRDefault="009C5F27">
      <w:pPr>
        <w:rPr>
          <w:lang w:val="en-US"/>
        </w:rPr>
      </w:pPr>
    </w:p>
    <w:p w:rsidR="009C5F27" w:rsidRDefault="00B56235" w:rsidP="006049D4">
      <w:pPr>
        <w:jc w:val="both"/>
      </w:pPr>
      <w:r>
        <w:tab/>
        <w:t xml:space="preserve">Преминаването между български/английски език се извършва в десния ъгъл на екрана. За да промени езиковия режим, потребителят трябва да кликне върху иконата със знаме. </w:t>
      </w:r>
    </w:p>
    <w:p w:rsidR="009C5F27" w:rsidRDefault="009C5F27"/>
    <w:p w:rsidR="009C5F27" w:rsidRDefault="00B56235">
      <w:pPr>
        <w:jc w:val="center"/>
      </w:pPr>
      <w:r>
        <w:rPr>
          <w:noProof/>
          <w:lang w:eastAsia="bg-BG"/>
        </w:rPr>
        <w:drawing>
          <wp:inline distT="0" distB="0" distL="0" distR="0" wp14:anchorId="36F28771" wp14:editId="1142BADE">
            <wp:extent cx="5796280" cy="3175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96280" cy="317500"/>
                    </a:xfrm>
                    <a:prstGeom prst="rect">
                      <a:avLst/>
                    </a:prstGeom>
                  </pic:spPr>
                </pic:pic>
              </a:graphicData>
            </a:graphic>
          </wp:inline>
        </w:drawing>
      </w:r>
    </w:p>
    <w:p w:rsidR="009C5F27" w:rsidRDefault="00B56235">
      <w:pPr>
        <w:jc w:val="center"/>
      </w:pPr>
      <w:r>
        <w:t>Избор на език</w:t>
      </w:r>
    </w:p>
    <w:p w:rsidR="009C5F27" w:rsidRDefault="00B56235">
      <w:pPr>
        <w:pStyle w:val="Heading2"/>
      </w:pPr>
      <w:bookmarkStart w:id="25" w:name="_Toc10122894"/>
      <w:r>
        <w:t>Уведомления</w:t>
      </w:r>
      <w:bookmarkEnd w:id="25"/>
    </w:p>
    <w:p w:rsidR="009C5F27" w:rsidRDefault="009C5F27">
      <w:pPr>
        <w:rPr>
          <w:lang w:val="en-US"/>
        </w:rPr>
      </w:pPr>
    </w:p>
    <w:p w:rsidR="009C5F27" w:rsidRDefault="00B56235" w:rsidP="006049D4">
      <w:pPr>
        <w:jc w:val="both"/>
      </w:pPr>
      <w:r>
        <w:tab/>
        <w:t>Всички потребители имат достъп до екрана с уведомления. Уведомленията могат да се филтрират чрез избор на период от време и натискане на бутон “Приложи филтър” (“</w:t>
      </w:r>
      <w:proofErr w:type="spellStart"/>
      <w:r>
        <w:t>Apply</w:t>
      </w:r>
      <w:proofErr w:type="spellEnd"/>
      <w:r>
        <w:t xml:space="preserve"> </w:t>
      </w:r>
      <w:proofErr w:type="spellStart"/>
      <w:r>
        <w:t>filter</w:t>
      </w:r>
      <w:proofErr w:type="spellEnd"/>
      <w:r>
        <w:t>”) Филтрите могат да се възстановят на първоначалните настройки чрез натискане на бутон “Премахни филтър” (“</w:t>
      </w:r>
      <w:proofErr w:type="spellStart"/>
      <w:r>
        <w:t>Reset</w:t>
      </w:r>
      <w:proofErr w:type="spellEnd"/>
      <w:r>
        <w:t xml:space="preserve"> </w:t>
      </w:r>
      <w:proofErr w:type="spellStart"/>
      <w:r>
        <w:t>filter</w:t>
      </w:r>
      <w:proofErr w:type="spellEnd"/>
      <w:r>
        <w:t>”).</w:t>
      </w:r>
    </w:p>
    <w:p w:rsidR="009C5F27" w:rsidRDefault="009C5F27"/>
    <w:p w:rsidR="009C5F27" w:rsidRDefault="00B56235">
      <w:r>
        <w:rPr>
          <w:noProof/>
          <w:lang w:eastAsia="bg-BG"/>
        </w:rPr>
        <w:drawing>
          <wp:inline distT="0" distB="0" distL="0" distR="0" wp14:anchorId="28EA9658" wp14:editId="4A96644B">
            <wp:extent cx="5796280" cy="2605405"/>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96280" cy="2605405"/>
                    </a:xfrm>
                    <a:prstGeom prst="rect">
                      <a:avLst/>
                    </a:prstGeom>
                  </pic:spPr>
                </pic:pic>
              </a:graphicData>
            </a:graphic>
          </wp:inline>
        </w:drawing>
      </w:r>
    </w:p>
    <w:p w:rsidR="009C5F27" w:rsidRDefault="00B56235">
      <w:pPr>
        <w:jc w:val="center"/>
      </w:pPr>
      <w:r>
        <w:t>Уведомления</w:t>
      </w:r>
    </w:p>
    <w:p w:rsidR="009C5F27" w:rsidRDefault="00B56235">
      <w:pPr>
        <w:pStyle w:val="Heading2"/>
      </w:pPr>
      <w:bookmarkStart w:id="26" w:name="_Toc10122895"/>
      <w:r>
        <w:t>Вход в системата</w:t>
      </w:r>
      <w:bookmarkEnd w:id="26"/>
    </w:p>
    <w:p w:rsidR="009C5F27" w:rsidRPr="006049D4" w:rsidRDefault="009C5F27"/>
    <w:p w:rsidR="009C5F27" w:rsidRDefault="00B56235" w:rsidP="006049D4">
      <w:pPr>
        <w:jc w:val="both"/>
      </w:pPr>
      <w:r>
        <w:tab/>
        <w:t>Потребителят може да влезе в системата чрез натискане на бутон “Вход” (“</w:t>
      </w:r>
      <w:proofErr w:type="spellStart"/>
      <w:r>
        <w:t>Sign</w:t>
      </w:r>
      <w:proofErr w:type="spellEnd"/>
      <w:r>
        <w:t xml:space="preserve"> </w:t>
      </w:r>
      <w:proofErr w:type="spellStart"/>
      <w:r>
        <w:t>in</w:t>
      </w:r>
      <w:proofErr w:type="spellEnd"/>
      <w:r>
        <w:t xml:space="preserve">”) в десния ъгъл на екрана. ЕСО предоставя по електронна поща потребителско име и временна парола. След първото влизане, потребителят следва да създаде нова парола, която ще му бъде известна само на него. </w:t>
      </w:r>
    </w:p>
    <w:p w:rsidR="009C5F27" w:rsidRDefault="009C5F27"/>
    <w:p w:rsidR="009C5F27" w:rsidRDefault="00B56235">
      <w:pPr>
        <w:jc w:val="center"/>
      </w:pPr>
      <w:r>
        <w:rPr>
          <w:noProof/>
          <w:lang w:eastAsia="bg-BG"/>
        </w:rPr>
        <w:lastRenderedPageBreak/>
        <w:drawing>
          <wp:inline distT="0" distB="0" distL="0" distR="0" wp14:anchorId="74D09DEE" wp14:editId="0247BB63">
            <wp:extent cx="5591175" cy="226695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7156" cy="2277484"/>
                    </a:xfrm>
                    <a:prstGeom prst="rect">
                      <a:avLst/>
                    </a:prstGeom>
                    <a:noFill/>
                    <a:ln>
                      <a:noFill/>
                    </a:ln>
                  </pic:spPr>
                </pic:pic>
              </a:graphicData>
            </a:graphic>
          </wp:inline>
        </w:drawing>
      </w:r>
    </w:p>
    <w:p w:rsidR="009C5F27" w:rsidRDefault="00B56235">
      <w:pPr>
        <w:jc w:val="center"/>
      </w:pPr>
      <w:r>
        <w:t>Влизане в системата</w:t>
      </w:r>
    </w:p>
    <w:p w:rsidR="009C5F27" w:rsidRDefault="009C5F27">
      <w:pPr>
        <w:jc w:val="center"/>
        <w:rPr>
          <w:lang w:val="en-US"/>
        </w:rPr>
      </w:pPr>
    </w:p>
    <w:p w:rsidR="009C5F27" w:rsidRDefault="00B56235">
      <w:pPr>
        <w:jc w:val="center"/>
      </w:pPr>
      <w:r>
        <w:rPr>
          <w:noProof/>
          <w:lang w:eastAsia="bg-BG"/>
        </w:rPr>
        <w:drawing>
          <wp:inline distT="0" distB="0" distL="0" distR="0" wp14:anchorId="14EC6543" wp14:editId="4BF579D5">
            <wp:extent cx="4219575" cy="2562225"/>
            <wp:effectExtent l="0" t="0" r="952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19575" cy="2562225"/>
                    </a:xfrm>
                    <a:prstGeom prst="rect">
                      <a:avLst/>
                    </a:prstGeom>
                  </pic:spPr>
                </pic:pic>
              </a:graphicData>
            </a:graphic>
          </wp:inline>
        </w:drawing>
      </w:r>
    </w:p>
    <w:p w:rsidR="009C5F27" w:rsidRDefault="00B56235">
      <w:pPr>
        <w:jc w:val="center"/>
      </w:pPr>
      <w:r>
        <w:t>Нова парола</w:t>
      </w:r>
    </w:p>
    <w:p w:rsidR="009C5F27" w:rsidRDefault="00B56235">
      <w:pPr>
        <w:pStyle w:val="Heading2"/>
      </w:pPr>
      <w:bookmarkStart w:id="27" w:name="_Toc10122896"/>
      <w:r>
        <w:t>Избор на компания</w:t>
      </w:r>
      <w:bookmarkEnd w:id="27"/>
    </w:p>
    <w:p w:rsidR="009C5F27" w:rsidRDefault="009C5F27">
      <w:pPr>
        <w:rPr>
          <w:lang w:val="en-US"/>
        </w:rPr>
      </w:pPr>
    </w:p>
    <w:p w:rsidR="009C5F27" w:rsidRDefault="00B56235" w:rsidP="006049D4">
      <w:pPr>
        <w:jc w:val="both"/>
      </w:pPr>
      <w:r>
        <w:tab/>
        <w:t xml:space="preserve">След </w:t>
      </w:r>
      <w:proofErr w:type="spellStart"/>
      <w:r>
        <w:t>успешн</w:t>
      </w:r>
      <w:proofErr w:type="spellEnd"/>
      <w:r w:rsidR="00D16B5E">
        <w:rPr>
          <w:lang w:val="en-US"/>
        </w:rPr>
        <w:t>o</w:t>
      </w:r>
      <w:r>
        <w:t xml:space="preserve"> влизане в системата, потребителят може да избере компанията, която желае да използва в пазарния процес. Списък с падащо меню до потребителското име показва всички компании, към които е асоцииран потребителят.</w:t>
      </w:r>
      <w:r>
        <w:rPr>
          <w:color w:val="212121"/>
        </w:rPr>
        <w:t xml:space="preserve"> Показана е също така и ролята на избраната компания на пазара. Ролята „Търговец на преносна способност“ (</w:t>
      </w:r>
      <w:r w:rsidRPr="006049D4">
        <w:rPr>
          <w:color w:val="212121"/>
        </w:rPr>
        <w:t>“</w:t>
      </w:r>
      <w:r>
        <w:rPr>
          <w:color w:val="212121"/>
          <w:lang w:val="en-US"/>
        </w:rPr>
        <w:t>Capacity</w:t>
      </w:r>
      <w:r w:rsidRPr="006049D4">
        <w:rPr>
          <w:color w:val="212121"/>
        </w:rPr>
        <w:t xml:space="preserve"> </w:t>
      </w:r>
      <w:r>
        <w:rPr>
          <w:color w:val="212121"/>
          <w:lang w:val="en-US"/>
        </w:rPr>
        <w:t>Trader</w:t>
      </w:r>
      <w:r w:rsidRPr="006049D4">
        <w:rPr>
          <w:color w:val="212121"/>
        </w:rPr>
        <w:t>”)</w:t>
      </w:r>
      <w:r>
        <w:rPr>
          <w:color w:val="212121"/>
        </w:rPr>
        <w:t xml:space="preserve"> има достъп до основните данни и модул „Търгове</w:t>
      </w:r>
      <w:r w:rsidRPr="006049D4">
        <w:rPr>
          <w:color w:val="212121"/>
        </w:rPr>
        <w:t xml:space="preserve"> </w:t>
      </w:r>
      <w:r>
        <w:rPr>
          <w:color w:val="212121"/>
        </w:rPr>
        <w:t>за капацитети“.</w:t>
      </w:r>
    </w:p>
    <w:p w:rsidR="009C5F27" w:rsidRDefault="009C5F27"/>
    <w:p w:rsidR="009C5F27" w:rsidRDefault="00B56235">
      <w:pPr>
        <w:jc w:val="center"/>
      </w:pPr>
      <w:r>
        <w:rPr>
          <w:noProof/>
          <w:lang w:eastAsia="bg-BG"/>
        </w:rPr>
        <w:drawing>
          <wp:inline distT="0" distB="0" distL="0" distR="0" wp14:anchorId="216AEDC1" wp14:editId="1E2FCFD2">
            <wp:extent cx="4029075" cy="184785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29075" cy="1847850"/>
                    </a:xfrm>
                    <a:prstGeom prst="rect">
                      <a:avLst/>
                    </a:prstGeom>
                    <a:noFill/>
                    <a:ln>
                      <a:noFill/>
                    </a:ln>
                  </pic:spPr>
                </pic:pic>
              </a:graphicData>
            </a:graphic>
          </wp:inline>
        </w:drawing>
      </w:r>
    </w:p>
    <w:p w:rsidR="009C5F27" w:rsidRDefault="00B56235">
      <w:pPr>
        <w:jc w:val="center"/>
      </w:pPr>
      <w:r>
        <w:lastRenderedPageBreak/>
        <w:t>Избор на компания</w:t>
      </w:r>
    </w:p>
    <w:p w:rsidR="009C5F27" w:rsidRDefault="00B56235">
      <w:pPr>
        <w:pStyle w:val="Heading1"/>
      </w:pPr>
      <w:bookmarkStart w:id="28" w:name="_Toc10122897"/>
      <w:r>
        <w:t>Модул Основни данни</w:t>
      </w:r>
      <w:bookmarkEnd w:id="28"/>
    </w:p>
    <w:p w:rsidR="009C5F27" w:rsidRDefault="00B56235">
      <w:pPr>
        <w:pStyle w:val="Heading2"/>
      </w:pPr>
      <w:bookmarkStart w:id="29" w:name="_Toc10122898"/>
      <w:r>
        <w:t>Компании</w:t>
      </w:r>
      <w:bookmarkEnd w:id="29"/>
    </w:p>
    <w:p w:rsidR="009C5F27" w:rsidRDefault="009C5F27">
      <w:pPr>
        <w:rPr>
          <w:lang w:val="en-US"/>
        </w:rPr>
      </w:pPr>
    </w:p>
    <w:p w:rsidR="009C5F27" w:rsidRDefault="00B56235" w:rsidP="006049D4">
      <w:pPr>
        <w:pStyle w:val="HTMLPreformatted"/>
        <w:shd w:val="clear" w:color="auto" w:fill="FFFFFF"/>
        <w:jc w:val="both"/>
        <w:rPr>
          <w:rFonts w:ascii="Arial" w:hAnsi="Arial" w:cs="Arial"/>
        </w:rPr>
      </w:pPr>
      <w:r>
        <w:rPr>
          <w:color w:val="212121"/>
        </w:rPr>
        <w:tab/>
      </w:r>
      <w:r>
        <w:rPr>
          <w:rFonts w:ascii="Arial" w:hAnsi="Arial"/>
          <w:color w:val="212121"/>
        </w:rPr>
        <w:t>Екран „Компании“ (</w:t>
      </w:r>
      <w:r w:rsidRPr="006049D4">
        <w:rPr>
          <w:rFonts w:ascii="Arial" w:hAnsi="Arial"/>
          <w:color w:val="212121"/>
        </w:rPr>
        <w:t>“</w:t>
      </w:r>
      <w:r>
        <w:rPr>
          <w:rFonts w:ascii="Arial" w:hAnsi="Arial"/>
          <w:color w:val="212121"/>
          <w:lang w:val="en-US"/>
        </w:rPr>
        <w:t>Companies</w:t>
      </w:r>
      <w:r w:rsidRPr="006049D4">
        <w:rPr>
          <w:rFonts w:ascii="Arial" w:hAnsi="Arial"/>
          <w:color w:val="212121"/>
        </w:rPr>
        <w:t>”)</w:t>
      </w:r>
      <w:r>
        <w:rPr>
          <w:rFonts w:ascii="Arial" w:hAnsi="Arial"/>
          <w:color w:val="212121"/>
        </w:rPr>
        <w:t xml:space="preserve"> дава възможност за преглед на избраната компания. Компаниите</w:t>
      </w:r>
      <w:r>
        <w:rPr>
          <w:rFonts w:ascii="Arial" w:hAnsi="Arial"/>
        </w:rPr>
        <w:t xml:space="preserve"> могат да се филтрират чрез въвеждане на текст в полетата на филтъра. Филтрирането може да се спре чрез избор на бутон “Отмени филтри” („</w:t>
      </w:r>
      <w:proofErr w:type="spellStart"/>
      <w:r>
        <w:rPr>
          <w:rFonts w:ascii="Arial" w:hAnsi="Arial"/>
        </w:rPr>
        <w:t>Cancel</w:t>
      </w:r>
      <w:proofErr w:type="spellEnd"/>
      <w:r>
        <w:rPr>
          <w:rFonts w:ascii="Arial" w:hAnsi="Arial"/>
        </w:rPr>
        <w:t xml:space="preserve"> </w:t>
      </w:r>
      <w:proofErr w:type="spellStart"/>
      <w:r>
        <w:rPr>
          <w:rFonts w:ascii="Arial" w:hAnsi="Arial"/>
        </w:rPr>
        <w:t>filters</w:t>
      </w:r>
      <w:proofErr w:type="spellEnd"/>
      <w:r>
        <w:rPr>
          <w:rFonts w:ascii="Arial" w:hAnsi="Arial"/>
        </w:rPr>
        <w:t>“).</w:t>
      </w:r>
      <w:r>
        <w:rPr>
          <w:rFonts w:ascii="Arial" w:hAnsi="Arial"/>
          <w:color w:val="212121"/>
        </w:rPr>
        <w:t xml:space="preserve"> </w:t>
      </w:r>
      <w:r>
        <w:rPr>
          <w:rFonts w:ascii="Arial" w:hAnsi="Arial"/>
        </w:rPr>
        <w:t xml:space="preserve">С избиране на икона </w:t>
      </w:r>
      <w:proofErr w:type="spellStart"/>
      <w:r>
        <w:rPr>
          <w:rFonts w:ascii="Arial" w:hAnsi="Arial"/>
        </w:rPr>
        <w:t>excel</w:t>
      </w:r>
      <w:proofErr w:type="spellEnd"/>
      <w:r>
        <w:rPr>
          <w:rFonts w:ascii="Arial" w:hAnsi="Arial"/>
        </w:rPr>
        <w:t>, данните се прехвърлят в CSV файл. Съществуващите настройки за компанията могат да се преразгледат с избор на иконата от дясната страна на екрана.</w:t>
      </w:r>
    </w:p>
    <w:p w:rsidR="009C5F27" w:rsidRDefault="009C5F27">
      <w:pPr>
        <w:pStyle w:val="HTMLPreformatted"/>
        <w:shd w:val="clear" w:color="auto" w:fill="FFFFFF"/>
        <w:rPr>
          <w:rFonts w:ascii="Arial" w:hAnsi="Arial" w:cs="Arial"/>
          <w:color w:val="212121"/>
        </w:rPr>
      </w:pPr>
    </w:p>
    <w:p w:rsidR="009C5F27" w:rsidRDefault="00B56235">
      <w:pPr>
        <w:keepNext/>
        <w:jc w:val="center"/>
      </w:pPr>
      <w:r>
        <w:rPr>
          <w:noProof/>
          <w:lang w:eastAsia="bg-BG"/>
        </w:rPr>
        <w:drawing>
          <wp:inline distT="0" distB="0" distL="0" distR="0" wp14:anchorId="5495819C" wp14:editId="069A2287">
            <wp:extent cx="5796280" cy="112268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p.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96280" cy="1122680"/>
                    </a:xfrm>
                    <a:prstGeom prst="rect">
                      <a:avLst/>
                    </a:prstGeom>
                  </pic:spPr>
                </pic:pic>
              </a:graphicData>
            </a:graphic>
          </wp:inline>
        </w:drawing>
      </w:r>
    </w:p>
    <w:p w:rsidR="009C5F27" w:rsidRDefault="00B56235">
      <w:pPr>
        <w:pStyle w:val="Caption"/>
        <w:rPr>
          <w:b w:val="0"/>
        </w:rPr>
      </w:pPr>
      <w:r>
        <w:rPr>
          <w:b w:val="0"/>
        </w:rPr>
        <w:t>Компании</w:t>
      </w:r>
      <w:r>
        <w:tab/>
      </w:r>
    </w:p>
    <w:p w:rsidR="009C5F27" w:rsidRDefault="00B56235" w:rsidP="006049D4">
      <w:pPr>
        <w:jc w:val="both"/>
      </w:pPr>
      <w:r>
        <w:t>Данните за компанията могат само да се преглеждат. Потребителят няма права да променя настройките.</w:t>
      </w:r>
    </w:p>
    <w:p w:rsidR="009C5F27" w:rsidRDefault="009C5F27"/>
    <w:p w:rsidR="009C5F27" w:rsidRDefault="00B56235">
      <w:r>
        <w:rPr>
          <w:noProof/>
          <w:lang w:eastAsia="bg-BG"/>
        </w:rPr>
        <w:drawing>
          <wp:inline distT="0" distB="0" distL="0" distR="0" wp14:anchorId="4C690187" wp14:editId="736C6478">
            <wp:extent cx="5796280" cy="29044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mdit.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96280" cy="2904490"/>
                    </a:xfrm>
                    <a:prstGeom prst="rect">
                      <a:avLst/>
                    </a:prstGeom>
                  </pic:spPr>
                </pic:pic>
              </a:graphicData>
            </a:graphic>
          </wp:inline>
        </w:drawing>
      </w:r>
    </w:p>
    <w:p w:rsidR="009C5F27" w:rsidRDefault="00B56235">
      <w:pPr>
        <w:pStyle w:val="Caption"/>
        <w:rPr>
          <w:b w:val="0"/>
        </w:rPr>
      </w:pPr>
      <w:r>
        <w:rPr>
          <w:b w:val="0"/>
        </w:rPr>
        <w:t>Данни за компанията</w:t>
      </w:r>
    </w:p>
    <w:p w:rsidR="009C5F27" w:rsidRDefault="00B56235">
      <w:pPr>
        <w:rPr>
          <w:b/>
          <w:sz w:val="24"/>
        </w:rPr>
      </w:pPr>
      <w:r>
        <w:br w:type="page"/>
      </w:r>
    </w:p>
    <w:p w:rsidR="009C5F27" w:rsidRDefault="00B56235">
      <w:pPr>
        <w:pStyle w:val="Heading3"/>
      </w:pPr>
      <w:r>
        <w:lastRenderedPageBreak/>
        <w:t>Потребители</w:t>
      </w:r>
    </w:p>
    <w:p w:rsidR="009C5F27" w:rsidRDefault="009C5F27">
      <w:pPr>
        <w:rPr>
          <w:lang w:eastAsia="en-US"/>
        </w:rPr>
      </w:pPr>
    </w:p>
    <w:p w:rsidR="009C5F27" w:rsidRDefault="00B56235" w:rsidP="006049D4">
      <w:pPr>
        <w:jc w:val="both"/>
      </w:pPr>
      <w:r>
        <w:tab/>
        <w:t>Раздел „Потребители“ (</w:t>
      </w:r>
      <w:r w:rsidRPr="006049D4">
        <w:t>“</w:t>
      </w:r>
      <w:r>
        <w:rPr>
          <w:lang w:val="en-US"/>
        </w:rPr>
        <w:t>Persons</w:t>
      </w:r>
      <w:r w:rsidRPr="006049D4">
        <w:t>”</w:t>
      </w:r>
      <w:r>
        <w:t>) показва списък на потребителите и системните им роли в тази компания. Търговците на преносна способност не могат да променят или добавят права на потребителите.</w:t>
      </w:r>
    </w:p>
    <w:p w:rsidR="009C5F27" w:rsidRDefault="009C5F27">
      <w:pPr>
        <w:rPr>
          <w:lang w:val="hr-HR" w:eastAsia="en-US"/>
        </w:rPr>
      </w:pPr>
    </w:p>
    <w:p w:rsidR="009C5F27" w:rsidRDefault="009C5F27">
      <w:pPr>
        <w:rPr>
          <w:lang w:val="hr-HR" w:eastAsia="en-US"/>
        </w:rPr>
      </w:pPr>
    </w:p>
    <w:p w:rsidR="009C5F27" w:rsidRDefault="00B56235">
      <w:r>
        <w:rPr>
          <w:noProof/>
          <w:lang w:eastAsia="bg-BG"/>
        </w:rPr>
        <w:drawing>
          <wp:inline distT="0" distB="0" distL="0" distR="0" wp14:anchorId="4CE6AB38" wp14:editId="48437336">
            <wp:extent cx="5796280" cy="221996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r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96280" cy="2219960"/>
                    </a:xfrm>
                    <a:prstGeom prst="rect">
                      <a:avLst/>
                    </a:prstGeom>
                  </pic:spPr>
                </pic:pic>
              </a:graphicData>
            </a:graphic>
          </wp:inline>
        </w:drawing>
      </w:r>
    </w:p>
    <w:p w:rsidR="009C5F27" w:rsidRDefault="00B56235">
      <w:pPr>
        <w:tabs>
          <w:tab w:val="left" w:pos="1276"/>
        </w:tabs>
        <w:spacing w:before="120" w:after="240"/>
        <w:ind w:left="992" w:hanging="992"/>
        <w:jc w:val="center"/>
        <w:rPr>
          <w:rFonts w:eastAsia="Calibri"/>
          <w:bCs/>
          <w:sz w:val="22"/>
          <w:szCs w:val="18"/>
        </w:rPr>
      </w:pPr>
      <w:r>
        <w:rPr>
          <w:bCs/>
          <w:sz w:val="22"/>
          <w:szCs w:val="18"/>
        </w:rPr>
        <w:t>Потребители</w:t>
      </w:r>
    </w:p>
    <w:p w:rsidR="009C5F27" w:rsidRDefault="009C5F27">
      <w:pPr>
        <w:rPr>
          <w:lang w:val="hr-HR" w:eastAsia="en-US"/>
        </w:rPr>
      </w:pPr>
    </w:p>
    <w:p w:rsidR="009C5F27" w:rsidRDefault="00B56235">
      <w:pPr>
        <w:pStyle w:val="Heading3"/>
      </w:pPr>
      <w:r>
        <w:t>Информиране</w:t>
      </w:r>
    </w:p>
    <w:p w:rsidR="009C5F27" w:rsidRDefault="009C5F27">
      <w:pPr>
        <w:rPr>
          <w:lang w:eastAsia="en-US"/>
        </w:rPr>
      </w:pPr>
    </w:p>
    <w:p w:rsidR="009C5F27" w:rsidRDefault="00B56235" w:rsidP="006049D4">
      <w:pPr>
        <w:jc w:val="both"/>
      </w:pPr>
      <w:r>
        <w:tab/>
        <w:t>Раздел „Информиране“ (</w:t>
      </w:r>
      <w:r w:rsidRPr="006049D4">
        <w:t>“</w:t>
      </w:r>
      <w:r>
        <w:rPr>
          <w:lang w:val="en-US"/>
        </w:rPr>
        <w:t>Informing</w:t>
      </w:r>
      <w:r w:rsidRPr="006049D4">
        <w:t>”</w:t>
      </w:r>
      <w:r>
        <w:t>) показва характеристиките на изпращане, използвани в модул „Известяване на графици“ и други модули. Търговците на преносна способност не могат да променят или добавят информация.</w:t>
      </w:r>
    </w:p>
    <w:p w:rsidR="009C5F27" w:rsidRDefault="009C5F27"/>
    <w:p w:rsidR="009C5F27" w:rsidRDefault="00B56235">
      <w:r>
        <w:rPr>
          <w:noProof/>
          <w:lang w:eastAsia="bg-BG"/>
        </w:rPr>
        <w:drawing>
          <wp:inline distT="0" distB="0" distL="0" distR="0" wp14:anchorId="4AF76D98" wp14:editId="1134362A">
            <wp:extent cx="5796280" cy="19246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form.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96280" cy="1924685"/>
                    </a:xfrm>
                    <a:prstGeom prst="rect">
                      <a:avLst/>
                    </a:prstGeom>
                  </pic:spPr>
                </pic:pic>
              </a:graphicData>
            </a:graphic>
          </wp:inline>
        </w:drawing>
      </w:r>
    </w:p>
    <w:p w:rsidR="009C5F27" w:rsidRDefault="00B56235">
      <w:pPr>
        <w:tabs>
          <w:tab w:val="left" w:pos="1276"/>
        </w:tabs>
        <w:spacing w:before="120" w:after="240"/>
        <w:ind w:left="992" w:hanging="992"/>
        <w:jc w:val="center"/>
        <w:rPr>
          <w:rFonts w:eastAsia="Calibri"/>
          <w:bCs/>
          <w:sz w:val="22"/>
          <w:szCs w:val="18"/>
        </w:rPr>
      </w:pPr>
      <w:r>
        <w:rPr>
          <w:bCs/>
          <w:sz w:val="22"/>
          <w:szCs w:val="18"/>
        </w:rPr>
        <w:t>Информиране</w:t>
      </w:r>
    </w:p>
    <w:p w:rsidR="009C5F27" w:rsidRDefault="009C5F27">
      <w:pPr>
        <w:tabs>
          <w:tab w:val="left" w:pos="1276"/>
        </w:tabs>
        <w:spacing w:before="120" w:after="240"/>
        <w:ind w:left="992" w:hanging="992"/>
        <w:rPr>
          <w:rFonts w:eastAsia="Calibri"/>
          <w:b/>
          <w:bCs/>
          <w:sz w:val="22"/>
          <w:szCs w:val="18"/>
          <w:lang w:val="hr-HR" w:eastAsia="en-US"/>
        </w:rPr>
      </w:pPr>
    </w:p>
    <w:p w:rsidR="009C5F27" w:rsidRDefault="00B56235">
      <w:pPr>
        <w:rPr>
          <w:b/>
          <w:sz w:val="24"/>
        </w:rPr>
      </w:pPr>
      <w:r>
        <w:br w:type="page"/>
      </w:r>
    </w:p>
    <w:p w:rsidR="009C5F27" w:rsidRDefault="00B56235">
      <w:pPr>
        <w:pStyle w:val="Heading3"/>
      </w:pPr>
      <w:r>
        <w:lastRenderedPageBreak/>
        <w:t>Настройки</w:t>
      </w:r>
    </w:p>
    <w:p w:rsidR="009C5F27" w:rsidRDefault="009C5F27">
      <w:pPr>
        <w:rPr>
          <w:lang w:val="hr-HR" w:eastAsia="en-US"/>
        </w:rPr>
      </w:pPr>
    </w:p>
    <w:p w:rsidR="009C5F27" w:rsidRDefault="00B56235" w:rsidP="006049D4">
      <w:pPr>
        <w:jc w:val="both"/>
      </w:pPr>
      <w:r>
        <w:tab/>
        <w:t>Екран „Настройки“ (</w:t>
      </w:r>
      <w:r w:rsidRPr="006049D4">
        <w:t>“</w:t>
      </w:r>
      <w:r w:rsidRPr="006049D4">
        <w:rPr>
          <w:lang w:val="hr-HR"/>
        </w:rPr>
        <w:t>Setting</w:t>
      </w:r>
      <w:r w:rsidRPr="006049D4">
        <w:t>”</w:t>
      </w:r>
      <w:r>
        <w:t>) показва настройките за компанията, използвани в други модули на приложението. Първоначалните настройки се добавят при създаване на компанията. Търговците на преносна способност не могат да променят или добавят настройки.</w:t>
      </w:r>
    </w:p>
    <w:p w:rsidR="009C5F27" w:rsidRDefault="009C5F27"/>
    <w:p w:rsidR="009C5F27" w:rsidRDefault="00B56235">
      <w:r>
        <w:rPr>
          <w:noProof/>
          <w:lang w:eastAsia="bg-BG"/>
        </w:rPr>
        <w:drawing>
          <wp:inline distT="0" distB="0" distL="0" distR="0" wp14:anchorId="107471A3" wp14:editId="5E38425F">
            <wp:extent cx="5796280" cy="16846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ett.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96280" cy="1684655"/>
                    </a:xfrm>
                    <a:prstGeom prst="rect">
                      <a:avLst/>
                    </a:prstGeom>
                  </pic:spPr>
                </pic:pic>
              </a:graphicData>
            </a:graphic>
          </wp:inline>
        </w:drawing>
      </w:r>
    </w:p>
    <w:p w:rsidR="009C5F27" w:rsidRDefault="00B56235">
      <w:pPr>
        <w:tabs>
          <w:tab w:val="left" w:pos="1276"/>
        </w:tabs>
        <w:spacing w:before="120" w:after="240"/>
        <w:ind w:left="992" w:hanging="992"/>
        <w:jc w:val="center"/>
        <w:rPr>
          <w:rFonts w:eastAsia="Calibri"/>
          <w:bCs/>
          <w:sz w:val="22"/>
          <w:szCs w:val="18"/>
        </w:rPr>
      </w:pPr>
      <w:r>
        <w:rPr>
          <w:bCs/>
          <w:sz w:val="22"/>
          <w:szCs w:val="18"/>
        </w:rPr>
        <w:t>Настройки</w:t>
      </w:r>
    </w:p>
    <w:p w:rsidR="009C5F27" w:rsidRDefault="00B56235">
      <w:pPr>
        <w:pStyle w:val="Heading3"/>
      </w:pPr>
      <w:r>
        <w:t>Тръжни роли</w:t>
      </w:r>
    </w:p>
    <w:p w:rsidR="009C5F27" w:rsidRDefault="009C5F27"/>
    <w:p w:rsidR="009C5F27" w:rsidRDefault="00B56235" w:rsidP="006049D4">
      <w:pPr>
        <w:jc w:val="both"/>
      </w:pPr>
      <w:r>
        <w:tab/>
        <w:t xml:space="preserve">Раздел </w:t>
      </w:r>
      <w:r w:rsidRPr="006049D4">
        <w:t>“</w:t>
      </w:r>
      <w:r>
        <w:t>Тръжни роли</w:t>
      </w:r>
      <w:r w:rsidRPr="006049D4">
        <w:t>” (“</w:t>
      </w:r>
      <w:r>
        <w:rPr>
          <w:lang w:val="en-US"/>
        </w:rPr>
        <w:t>Auction</w:t>
      </w:r>
      <w:r w:rsidRPr="006049D4">
        <w:t xml:space="preserve"> </w:t>
      </w:r>
      <w:r>
        <w:rPr>
          <w:lang w:val="en-US"/>
        </w:rPr>
        <w:t>roles</w:t>
      </w:r>
      <w:r w:rsidRPr="006049D4">
        <w:t>”)</w:t>
      </w:r>
      <w:r>
        <w:t xml:space="preserve"> дава възможност да се прегледат тръжните права по отделните граници. Потребителят трябва да е получил роля “Участник”</w:t>
      </w:r>
      <w:r w:rsidR="004713F2">
        <w:t>(„</w:t>
      </w:r>
      <w:r w:rsidR="004713F2">
        <w:rPr>
          <w:lang w:val="en-US"/>
        </w:rPr>
        <w:t>Participant</w:t>
      </w:r>
      <w:r w:rsidR="004713F2">
        <w:t>“)</w:t>
      </w:r>
      <w:r>
        <w:t xml:space="preserve"> за</w:t>
      </w:r>
      <w:r w:rsidRPr="006049D4">
        <w:t xml:space="preserve"> </w:t>
      </w:r>
      <w:r>
        <w:t xml:space="preserve">дадена границата, за да може да вижда отворените търгове на тази граница и да може да подава оферти за този търг. </w:t>
      </w:r>
      <w:r w:rsidRPr="006049D4">
        <w:t>Търговците на преносна способност</w:t>
      </w:r>
      <w:r>
        <w:t xml:space="preserve"> не могат да променят или добавят тръжни права. </w:t>
      </w:r>
    </w:p>
    <w:p w:rsidR="009C5F27" w:rsidRDefault="009C5F27"/>
    <w:p w:rsidR="009C5F27" w:rsidRDefault="00B56235">
      <w:r>
        <w:rPr>
          <w:noProof/>
          <w:lang w:eastAsia="bg-BG"/>
        </w:rPr>
        <w:drawing>
          <wp:inline distT="0" distB="0" distL="0" distR="0" wp14:anchorId="7FC3794F" wp14:editId="0911BA72">
            <wp:extent cx="5796280" cy="185991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set.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96280" cy="1859915"/>
                    </a:xfrm>
                    <a:prstGeom prst="rect">
                      <a:avLst/>
                    </a:prstGeom>
                  </pic:spPr>
                </pic:pic>
              </a:graphicData>
            </a:graphic>
          </wp:inline>
        </w:drawing>
      </w:r>
    </w:p>
    <w:p w:rsidR="009C5F27" w:rsidRDefault="00B56235">
      <w:pPr>
        <w:pStyle w:val="Heading3"/>
      </w:pPr>
      <w:r>
        <w:t>Банки</w:t>
      </w:r>
    </w:p>
    <w:p w:rsidR="009C5F27" w:rsidRDefault="009C5F27">
      <w:pPr>
        <w:rPr>
          <w:lang w:val="hr-HR" w:eastAsia="en-US"/>
        </w:rPr>
      </w:pPr>
    </w:p>
    <w:p w:rsidR="009C5F27" w:rsidRDefault="00B56235">
      <w:r>
        <w:tab/>
        <w:t>Раздел „Банки“ (</w:t>
      </w:r>
      <w:r w:rsidRPr="006049D4">
        <w:t>“</w:t>
      </w:r>
      <w:r w:rsidRPr="006049D4">
        <w:rPr>
          <w:lang w:val="hr-HR"/>
        </w:rPr>
        <w:t>Banks</w:t>
      </w:r>
      <w:r w:rsidRPr="006049D4">
        <w:t>”</w:t>
      </w:r>
      <w:r>
        <w:t>) показва информацията относно банките. Търговците на преносна способност не могат да променят или добавят банки.</w:t>
      </w:r>
    </w:p>
    <w:p w:rsidR="009C5F27" w:rsidRDefault="009C5F27"/>
    <w:p w:rsidR="009C5F27" w:rsidRDefault="00B56235">
      <w:r>
        <w:rPr>
          <w:noProof/>
          <w:lang w:eastAsia="bg-BG"/>
        </w:rPr>
        <w:drawing>
          <wp:inline distT="0" distB="0" distL="0" distR="0" wp14:anchorId="27A3D683" wp14:editId="53692B44">
            <wp:extent cx="5796280" cy="12820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k.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96280" cy="1282065"/>
                    </a:xfrm>
                    <a:prstGeom prst="rect">
                      <a:avLst/>
                    </a:prstGeom>
                  </pic:spPr>
                </pic:pic>
              </a:graphicData>
            </a:graphic>
          </wp:inline>
        </w:drawing>
      </w:r>
    </w:p>
    <w:p w:rsidR="009C5F27" w:rsidRDefault="00B56235">
      <w:pPr>
        <w:tabs>
          <w:tab w:val="left" w:pos="1276"/>
        </w:tabs>
        <w:spacing w:before="120" w:after="240"/>
        <w:ind w:left="992" w:hanging="992"/>
        <w:jc w:val="center"/>
        <w:rPr>
          <w:rFonts w:eastAsia="Calibri"/>
          <w:bCs/>
          <w:sz w:val="22"/>
          <w:szCs w:val="18"/>
        </w:rPr>
      </w:pPr>
      <w:r>
        <w:rPr>
          <w:bCs/>
          <w:sz w:val="22"/>
          <w:szCs w:val="18"/>
        </w:rPr>
        <w:lastRenderedPageBreak/>
        <w:t>Банки</w:t>
      </w:r>
    </w:p>
    <w:p w:rsidR="009C5F27" w:rsidRDefault="009C5F27">
      <w:pPr>
        <w:tabs>
          <w:tab w:val="left" w:pos="1276"/>
        </w:tabs>
        <w:spacing w:before="120" w:after="240"/>
        <w:ind w:left="992" w:hanging="992"/>
        <w:jc w:val="center"/>
        <w:rPr>
          <w:rFonts w:eastAsia="Calibri"/>
          <w:bCs/>
          <w:sz w:val="22"/>
          <w:szCs w:val="18"/>
          <w:lang w:val="hr-HR" w:eastAsia="en-US"/>
        </w:rPr>
      </w:pPr>
    </w:p>
    <w:p w:rsidR="009C5F27" w:rsidRDefault="00B56235">
      <w:pPr>
        <w:pStyle w:val="Heading3"/>
      </w:pPr>
      <w:r>
        <w:t>Делегиране на небаланс</w:t>
      </w:r>
    </w:p>
    <w:p w:rsidR="009C5F27" w:rsidRDefault="009C5F27">
      <w:pPr>
        <w:rPr>
          <w:lang w:val="hr-HR" w:eastAsia="en-US"/>
        </w:rPr>
      </w:pPr>
    </w:p>
    <w:p w:rsidR="009C5F27" w:rsidRDefault="00B56235" w:rsidP="006049D4">
      <w:pPr>
        <w:jc w:val="both"/>
      </w:pPr>
      <w:r>
        <w:tab/>
        <w:t>Раздел „Делегиране на небаланс</w:t>
      </w:r>
      <w:r w:rsidRPr="006049D4">
        <w:t xml:space="preserve">” </w:t>
      </w:r>
      <w:r>
        <w:t>(</w:t>
      </w:r>
      <w:r w:rsidRPr="006049D4">
        <w:t>“</w:t>
      </w:r>
      <w:r w:rsidRPr="006049D4">
        <w:rPr>
          <w:lang w:val="hr-HR"/>
        </w:rPr>
        <w:t>Imbalance</w:t>
      </w:r>
      <w:r w:rsidRPr="006049D4">
        <w:t xml:space="preserve"> </w:t>
      </w:r>
      <w:r w:rsidRPr="006049D4">
        <w:rPr>
          <w:lang w:val="hr-HR"/>
        </w:rPr>
        <w:t>delegetions</w:t>
      </w:r>
      <w:r w:rsidRPr="006049D4">
        <w:t>”)</w:t>
      </w:r>
      <w:r>
        <w:t xml:space="preserve"> показва списък с балансиращите групи, делегирали небаланса си към избраната компания. </w:t>
      </w:r>
    </w:p>
    <w:p w:rsidR="009C5F27" w:rsidRDefault="009C5F27"/>
    <w:p w:rsidR="009C5F27" w:rsidRDefault="00B56235">
      <w:r>
        <w:rPr>
          <w:noProof/>
          <w:lang w:eastAsia="bg-BG"/>
        </w:rPr>
        <w:drawing>
          <wp:inline distT="0" distB="0" distL="0" distR="0" wp14:anchorId="14B82AF7" wp14:editId="78550AE3">
            <wp:extent cx="5796280" cy="217106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balanc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96280" cy="2171065"/>
                    </a:xfrm>
                    <a:prstGeom prst="rect">
                      <a:avLst/>
                    </a:prstGeom>
                  </pic:spPr>
                </pic:pic>
              </a:graphicData>
            </a:graphic>
          </wp:inline>
        </w:drawing>
      </w:r>
    </w:p>
    <w:p w:rsidR="009C5F27" w:rsidRDefault="00B56235">
      <w:pPr>
        <w:tabs>
          <w:tab w:val="left" w:pos="1276"/>
        </w:tabs>
        <w:spacing w:before="120" w:after="240"/>
        <w:ind w:left="992" w:hanging="992"/>
        <w:jc w:val="center"/>
        <w:rPr>
          <w:rFonts w:eastAsia="Calibri"/>
          <w:bCs/>
          <w:sz w:val="22"/>
          <w:szCs w:val="18"/>
        </w:rPr>
      </w:pPr>
      <w:r>
        <w:rPr>
          <w:bCs/>
          <w:sz w:val="22"/>
          <w:szCs w:val="18"/>
        </w:rPr>
        <w:t>Делегиране на небаланс</w:t>
      </w:r>
    </w:p>
    <w:p w:rsidR="009C5F27" w:rsidRDefault="00B56235">
      <w:pPr>
        <w:pStyle w:val="Heading3"/>
      </w:pPr>
      <w:r>
        <w:t>Балансиращи групи</w:t>
      </w:r>
    </w:p>
    <w:p w:rsidR="009C5F27" w:rsidRDefault="009C5F27">
      <w:pPr>
        <w:rPr>
          <w:lang w:val="hr-HR" w:eastAsia="en-US"/>
        </w:rPr>
      </w:pPr>
    </w:p>
    <w:p w:rsidR="009C5F27" w:rsidRDefault="00B56235" w:rsidP="006049D4">
      <w:pPr>
        <w:jc w:val="both"/>
      </w:pPr>
      <w:r>
        <w:tab/>
        <w:t>Раздел „Балансиращи групи“</w:t>
      </w:r>
      <w:r w:rsidRPr="006049D4">
        <w:t xml:space="preserve"> (</w:t>
      </w:r>
      <w:r w:rsidRPr="006049D4">
        <w:rPr>
          <w:lang w:val="hr-HR"/>
        </w:rPr>
        <w:t>Balance</w:t>
      </w:r>
      <w:r w:rsidRPr="006049D4">
        <w:t xml:space="preserve"> </w:t>
      </w:r>
      <w:r w:rsidRPr="006049D4">
        <w:rPr>
          <w:lang w:val="hr-HR"/>
        </w:rPr>
        <w:t>groups</w:t>
      </w:r>
      <w:r w:rsidRPr="006049D4">
        <w:t>”)</w:t>
      </w:r>
      <w:r>
        <w:t xml:space="preserve"> показва всички балансиращи групи, причислени към избраната компания. </w:t>
      </w:r>
    </w:p>
    <w:p w:rsidR="009C5F27" w:rsidRDefault="009C5F27"/>
    <w:p w:rsidR="009C5F27" w:rsidRDefault="00B56235">
      <w:r>
        <w:rPr>
          <w:noProof/>
          <w:lang w:eastAsia="bg-BG"/>
        </w:rPr>
        <w:drawing>
          <wp:inline distT="0" distB="0" distL="0" distR="0" wp14:anchorId="2FBD9492" wp14:editId="16F972AB">
            <wp:extent cx="5796280" cy="22879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g.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96280" cy="2287905"/>
                    </a:xfrm>
                    <a:prstGeom prst="rect">
                      <a:avLst/>
                    </a:prstGeom>
                  </pic:spPr>
                </pic:pic>
              </a:graphicData>
            </a:graphic>
          </wp:inline>
        </w:drawing>
      </w:r>
    </w:p>
    <w:p w:rsidR="009C5F27" w:rsidRDefault="00B56235">
      <w:pPr>
        <w:tabs>
          <w:tab w:val="left" w:pos="1276"/>
        </w:tabs>
        <w:spacing w:before="120" w:after="240"/>
        <w:ind w:left="992" w:hanging="992"/>
        <w:jc w:val="center"/>
        <w:rPr>
          <w:rFonts w:eastAsia="Calibri"/>
          <w:bCs/>
          <w:sz w:val="22"/>
          <w:szCs w:val="18"/>
        </w:rPr>
      </w:pPr>
      <w:r>
        <w:rPr>
          <w:bCs/>
          <w:sz w:val="22"/>
          <w:szCs w:val="18"/>
        </w:rPr>
        <w:t>Балансиращи групи</w:t>
      </w:r>
    </w:p>
    <w:p w:rsidR="009C5F27" w:rsidRDefault="00B56235">
      <w:pPr>
        <w:pStyle w:val="Heading3"/>
      </w:pPr>
      <w:r>
        <w:t>Местоположение</w:t>
      </w:r>
    </w:p>
    <w:p w:rsidR="009C5F27" w:rsidRDefault="009C5F27">
      <w:pPr>
        <w:rPr>
          <w:lang w:val="hr-HR" w:eastAsia="en-US"/>
        </w:rPr>
      </w:pPr>
    </w:p>
    <w:p w:rsidR="009C5F27" w:rsidRDefault="00B56235" w:rsidP="006049D4">
      <w:pPr>
        <w:jc w:val="both"/>
      </w:pPr>
      <w:r>
        <w:tab/>
        <w:t xml:space="preserve">Раздел „Местоположение“ </w:t>
      </w:r>
      <w:r w:rsidRPr="006049D4">
        <w:t>(“</w:t>
      </w:r>
      <w:r w:rsidRPr="006049D4">
        <w:rPr>
          <w:lang w:val="hr-HR"/>
        </w:rPr>
        <w:t>Locations</w:t>
      </w:r>
      <w:r w:rsidRPr="006049D4">
        <w:t>”)</w:t>
      </w:r>
      <w:r>
        <w:t xml:space="preserve"> показва местоположението на компанията. Търговците на преносна способност не могат да променят или добавят местоположение.</w:t>
      </w:r>
    </w:p>
    <w:p w:rsidR="009C5F27" w:rsidRDefault="009C5F27"/>
    <w:p w:rsidR="009C5F27" w:rsidRDefault="00B56235">
      <w:r>
        <w:rPr>
          <w:noProof/>
          <w:lang w:eastAsia="bg-BG"/>
        </w:rPr>
        <w:lastRenderedPageBreak/>
        <w:drawing>
          <wp:inline distT="0" distB="0" distL="0" distR="0" wp14:anchorId="7CE1E155" wp14:editId="008E8387">
            <wp:extent cx="5796280" cy="10788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cat.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96280" cy="1078865"/>
                    </a:xfrm>
                    <a:prstGeom prst="rect">
                      <a:avLst/>
                    </a:prstGeom>
                  </pic:spPr>
                </pic:pic>
              </a:graphicData>
            </a:graphic>
          </wp:inline>
        </w:drawing>
      </w:r>
    </w:p>
    <w:p w:rsidR="009C5F27" w:rsidRDefault="00B56235">
      <w:pPr>
        <w:tabs>
          <w:tab w:val="left" w:pos="1276"/>
        </w:tabs>
        <w:spacing w:before="120" w:after="240"/>
        <w:ind w:left="992" w:hanging="992"/>
        <w:jc w:val="center"/>
        <w:rPr>
          <w:rFonts w:eastAsia="Calibri"/>
          <w:bCs/>
          <w:sz w:val="22"/>
          <w:szCs w:val="18"/>
        </w:rPr>
      </w:pPr>
      <w:r>
        <w:rPr>
          <w:bCs/>
          <w:sz w:val="22"/>
          <w:szCs w:val="18"/>
        </w:rPr>
        <w:t>Местоположение</w:t>
      </w:r>
    </w:p>
    <w:p w:rsidR="009C5F27" w:rsidRDefault="00B56235">
      <w:pPr>
        <w:pStyle w:val="Heading3"/>
      </w:pPr>
      <w:r>
        <w:t>Счетоводно отчитане</w:t>
      </w:r>
    </w:p>
    <w:p w:rsidR="009C5F27" w:rsidRDefault="009C5F27">
      <w:pPr>
        <w:rPr>
          <w:lang w:val="hr-HR" w:eastAsia="en-US"/>
        </w:rPr>
      </w:pPr>
    </w:p>
    <w:p w:rsidR="009C5F27" w:rsidRDefault="00B56235" w:rsidP="006049D4">
      <w:pPr>
        <w:jc w:val="both"/>
      </w:pPr>
      <w:r>
        <w:tab/>
        <w:t>Раздел „Счетоводно отчитане“</w:t>
      </w:r>
      <w:r w:rsidRPr="006049D4">
        <w:t xml:space="preserve"> (“</w:t>
      </w:r>
      <w:r w:rsidRPr="006049D4">
        <w:rPr>
          <w:lang w:val="hr-HR"/>
        </w:rPr>
        <w:t>Accounting</w:t>
      </w:r>
      <w:r w:rsidRPr="006049D4">
        <w:t>”)</w:t>
      </w:r>
      <w:r>
        <w:t xml:space="preserve"> показва данъчната ставка, която се използва при счетоводното отчитане в модул Търгове за преносна способност. </w:t>
      </w:r>
      <w:r w:rsidRPr="003F3FB0">
        <w:t>Търговците на преносна способност</w:t>
      </w:r>
      <w:r>
        <w:t xml:space="preserve"> не могат да променят данъчната ставка.</w:t>
      </w:r>
    </w:p>
    <w:p w:rsidR="009C5F27" w:rsidRDefault="009C5F27"/>
    <w:p w:rsidR="009C5F27" w:rsidRDefault="00B56235">
      <w:r>
        <w:rPr>
          <w:noProof/>
          <w:lang w:eastAsia="bg-BG"/>
        </w:rPr>
        <w:drawing>
          <wp:inline distT="0" distB="0" distL="0" distR="0" wp14:anchorId="4E2A9902" wp14:editId="533CB68B">
            <wp:extent cx="5796280" cy="10242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cc.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96280" cy="1024255"/>
                    </a:xfrm>
                    <a:prstGeom prst="rect">
                      <a:avLst/>
                    </a:prstGeom>
                  </pic:spPr>
                </pic:pic>
              </a:graphicData>
            </a:graphic>
          </wp:inline>
        </w:drawing>
      </w:r>
    </w:p>
    <w:p w:rsidR="009C5F27" w:rsidRDefault="00B56235">
      <w:pPr>
        <w:tabs>
          <w:tab w:val="left" w:pos="1276"/>
        </w:tabs>
        <w:spacing w:before="120" w:after="240"/>
        <w:ind w:left="992" w:hanging="992"/>
        <w:jc w:val="center"/>
        <w:rPr>
          <w:rFonts w:eastAsia="Calibri"/>
          <w:bCs/>
          <w:sz w:val="22"/>
          <w:szCs w:val="18"/>
        </w:rPr>
      </w:pPr>
      <w:r>
        <w:rPr>
          <w:bCs/>
          <w:sz w:val="22"/>
          <w:szCs w:val="18"/>
        </w:rPr>
        <w:t>Счетоводно отчитане</w:t>
      </w:r>
    </w:p>
    <w:p w:rsidR="009C5F27" w:rsidRDefault="009C5F27"/>
    <w:p w:rsidR="009C5F27" w:rsidRDefault="009C5F27"/>
    <w:p w:rsidR="009C5F27" w:rsidRDefault="00B56235">
      <w:pPr>
        <w:rPr>
          <w:b/>
          <w:sz w:val="24"/>
        </w:rPr>
      </w:pPr>
      <w:r>
        <w:br w:type="page"/>
      </w:r>
    </w:p>
    <w:p w:rsidR="009C5F27" w:rsidRDefault="00B56235">
      <w:pPr>
        <w:pStyle w:val="Heading2"/>
      </w:pPr>
      <w:bookmarkStart w:id="30" w:name="_Toc10122899"/>
      <w:r>
        <w:lastRenderedPageBreak/>
        <w:t>Балансиращи групи</w:t>
      </w:r>
      <w:bookmarkEnd w:id="30"/>
    </w:p>
    <w:p w:rsidR="009C5F27" w:rsidRDefault="009C5F27">
      <w:pPr>
        <w:rPr>
          <w:lang w:val="en-US"/>
        </w:rPr>
      </w:pPr>
    </w:p>
    <w:p w:rsidR="009C5F27" w:rsidRDefault="00B56235" w:rsidP="006049D4">
      <w:pPr>
        <w:jc w:val="both"/>
      </w:pPr>
      <w:r>
        <w:rPr>
          <w:color w:val="212121"/>
        </w:rPr>
        <w:tab/>
        <w:t>Екран „Балансиращи групи“ (</w:t>
      </w:r>
      <w:r w:rsidRPr="006049D4">
        <w:rPr>
          <w:color w:val="212121"/>
        </w:rPr>
        <w:t>“</w:t>
      </w:r>
      <w:r>
        <w:rPr>
          <w:color w:val="212121"/>
          <w:lang w:val="en-US"/>
        </w:rPr>
        <w:t>Balance</w:t>
      </w:r>
      <w:r w:rsidRPr="006049D4">
        <w:rPr>
          <w:color w:val="212121"/>
        </w:rPr>
        <w:t xml:space="preserve"> </w:t>
      </w:r>
      <w:r>
        <w:rPr>
          <w:color w:val="212121"/>
          <w:lang w:val="en-US"/>
        </w:rPr>
        <w:t>groups</w:t>
      </w:r>
      <w:r w:rsidRPr="006049D4">
        <w:rPr>
          <w:color w:val="212121"/>
        </w:rPr>
        <w:t>”</w:t>
      </w:r>
      <w:r>
        <w:rPr>
          <w:color w:val="212121"/>
        </w:rPr>
        <w:t xml:space="preserve">) дава възможност за преглед на всички балансиращи групи, към които е асоцииран потребителят чрез избраната компания. </w:t>
      </w:r>
      <w:r>
        <w:t>Данните могат да се филтрират чрез въвеждане на текст в полетата на филтъра. Филтрирането може да се премахне чрез избор на бутон “Отмени филтри” („</w:t>
      </w:r>
      <w:proofErr w:type="spellStart"/>
      <w:r>
        <w:t>Cancel</w:t>
      </w:r>
      <w:proofErr w:type="spellEnd"/>
      <w:r>
        <w:t xml:space="preserve"> </w:t>
      </w:r>
      <w:proofErr w:type="spellStart"/>
      <w:r>
        <w:t>filters</w:t>
      </w:r>
      <w:proofErr w:type="spellEnd"/>
      <w:r>
        <w:t>“).</w:t>
      </w:r>
      <w:r>
        <w:rPr>
          <w:color w:val="212121"/>
        </w:rPr>
        <w:t xml:space="preserve"> </w:t>
      </w:r>
      <w:r>
        <w:t xml:space="preserve">С избиране на икона </w:t>
      </w:r>
      <w:proofErr w:type="spellStart"/>
      <w:r>
        <w:t>excel</w:t>
      </w:r>
      <w:proofErr w:type="spellEnd"/>
      <w:r>
        <w:t>, редовете с данни се прехвърлят в CSV файл. Съществуващите настройки за балансиращата група могат да се прегледат с избор на иконата от дясната страна на екрана. С поставяне на отме</w:t>
      </w:r>
      <w:r w:rsidR="00AE3BB5">
        <w:t>т</w:t>
      </w:r>
      <w:r>
        <w:t>ка</w:t>
      </w:r>
      <w:r w:rsidRPr="006049D4">
        <w:t xml:space="preserve"> </w:t>
      </w:r>
      <w:r>
        <w:t xml:space="preserve">на </w:t>
      </w:r>
      <w:r w:rsidRPr="006049D4">
        <w:t>“</w:t>
      </w:r>
      <w:r>
        <w:t>Покажи само активни</w:t>
      </w:r>
      <w:r w:rsidRPr="006049D4">
        <w:t>“ (“</w:t>
      </w:r>
      <w:r>
        <w:rPr>
          <w:lang w:val="en-US"/>
        </w:rPr>
        <w:t>Show</w:t>
      </w:r>
      <w:r w:rsidRPr="006049D4">
        <w:t xml:space="preserve"> </w:t>
      </w:r>
      <w:r>
        <w:rPr>
          <w:lang w:val="en-US"/>
        </w:rPr>
        <w:t>valid</w:t>
      </w:r>
      <w:r w:rsidRPr="006049D4">
        <w:t xml:space="preserve"> </w:t>
      </w:r>
      <w:r>
        <w:rPr>
          <w:lang w:val="en-US"/>
        </w:rPr>
        <w:t>only</w:t>
      </w:r>
      <w:r w:rsidRPr="006049D4">
        <w:t xml:space="preserve">”) </w:t>
      </w:r>
      <w:r>
        <w:t>се визуализират</w:t>
      </w:r>
      <w:r w:rsidRPr="006049D4">
        <w:t xml:space="preserve"> само активните балансиращи групи.</w:t>
      </w:r>
    </w:p>
    <w:p w:rsidR="009C5F27" w:rsidRDefault="009C5F27"/>
    <w:p w:rsidR="009C5F27" w:rsidRDefault="00B56235">
      <w:pPr>
        <w:keepNext/>
      </w:pPr>
      <w:r>
        <w:rPr>
          <w:noProof/>
          <w:lang w:eastAsia="bg-BG"/>
        </w:rPr>
        <w:drawing>
          <wp:inline distT="0" distB="0" distL="0" distR="0" wp14:anchorId="6C91F8E9" wp14:editId="3706F2AA">
            <wp:extent cx="5796280" cy="26993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ggrid.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96280" cy="2699385"/>
                    </a:xfrm>
                    <a:prstGeom prst="rect">
                      <a:avLst/>
                    </a:prstGeom>
                  </pic:spPr>
                </pic:pic>
              </a:graphicData>
            </a:graphic>
          </wp:inline>
        </w:drawing>
      </w:r>
    </w:p>
    <w:p w:rsidR="009C5F27" w:rsidRDefault="00B56235">
      <w:pPr>
        <w:pStyle w:val="Caption"/>
        <w:rPr>
          <w:b w:val="0"/>
        </w:rPr>
      </w:pPr>
      <w:r>
        <w:rPr>
          <w:b w:val="0"/>
        </w:rPr>
        <w:t>Балансиращи групи</w:t>
      </w:r>
    </w:p>
    <w:p w:rsidR="009C5F27" w:rsidRDefault="00B56235">
      <w:r>
        <w:rPr>
          <w:noProof/>
          <w:lang w:eastAsia="bg-BG"/>
        </w:rPr>
        <w:drawing>
          <wp:inline distT="0" distB="0" distL="0" distR="0" wp14:anchorId="20982C84" wp14:editId="08F085BE">
            <wp:extent cx="5796280" cy="26898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gvalid.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96280" cy="2689860"/>
                    </a:xfrm>
                    <a:prstGeom prst="rect">
                      <a:avLst/>
                    </a:prstGeom>
                  </pic:spPr>
                </pic:pic>
              </a:graphicData>
            </a:graphic>
          </wp:inline>
        </w:drawing>
      </w:r>
    </w:p>
    <w:p w:rsidR="009C5F27" w:rsidRDefault="00B56235">
      <w:pPr>
        <w:tabs>
          <w:tab w:val="left" w:pos="1276"/>
        </w:tabs>
        <w:spacing w:before="120" w:after="240"/>
        <w:ind w:left="992" w:hanging="992"/>
        <w:jc w:val="center"/>
        <w:rPr>
          <w:rFonts w:eastAsia="Calibri"/>
          <w:bCs/>
          <w:sz w:val="22"/>
          <w:szCs w:val="18"/>
        </w:rPr>
      </w:pPr>
      <w:r>
        <w:rPr>
          <w:bCs/>
          <w:sz w:val="22"/>
          <w:szCs w:val="18"/>
        </w:rPr>
        <w:t>Балансиращи групи (показва единствено активните)</w:t>
      </w:r>
    </w:p>
    <w:p w:rsidR="009C5F27" w:rsidRDefault="009C5F27">
      <w:pPr>
        <w:rPr>
          <w:lang w:val="hr-HR" w:eastAsia="en-US"/>
        </w:rPr>
      </w:pPr>
    </w:p>
    <w:p w:rsidR="009C5F27" w:rsidRDefault="00B56235">
      <w:r>
        <w:tab/>
      </w:r>
      <w:r w:rsidRPr="003F3FB0">
        <w:t>Търговците на преносна способност</w:t>
      </w:r>
      <w:r>
        <w:t xml:space="preserve"> не могат да променят информация за балансираща група.</w:t>
      </w:r>
    </w:p>
    <w:p w:rsidR="009C5F27" w:rsidRDefault="009C5F27"/>
    <w:p w:rsidR="009C5F27" w:rsidRDefault="00B56235">
      <w:r>
        <w:rPr>
          <w:noProof/>
          <w:lang w:eastAsia="bg-BG"/>
        </w:rPr>
        <w:lastRenderedPageBreak/>
        <w:drawing>
          <wp:inline distT="0" distB="0" distL="0" distR="0" wp14:anchorId="7D30C477" wp14:editId="52EE12DF">
            <wp:extent cx="5796280" cy="289369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gdetail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96280" cy="2893695"/>
                    </a:xfrm>
                    <a:prstGeom prst="rect">
                      <a:avLst/>
                    </a:prstGeom>
                  </pic:spPr>
                </pic:pic>
              </a:graphicData>
            </a:graphic>
          </wp:inline>
        </w:drawing>
      </w:r>
    </w:p>
    <w:p w:rsidR="009C5F27" w:rsidRDefault="00B56235">
      <w:pPr>
        <w:pStyle w:val="Caption"/>
        <w:rPr>
          <w:b w:val="0"/>
        </w:rPr>
      </w:pPr>
      <w:r>
        <w:rPr>
          <w:b w:val="0"/>
        </w:rPr>
        <w:t>Информация за балансираща група</w:t>
      </w:r>
    </w:p>
    <w:p w:rsidR="009C5F27" w:rsidRDefault="00B56235">
      <w:pPr>
        <w:rPr>
          <w:b/>
          <w:sz w:val="24"/>
        </w:rPr>
      </w:pPr>
      <w:r>
        <w:br w:type="page"/>
      </w:r>
    </w:p>
    <w:p w:rsidR="009C5F27" w:rsidRDefault="00B56235">
      <w:pPr>
        <w:pStyle w:val="Heading3"/>
      </w:pPr>
      <w:r>
        <w:lastRenderedPageBreak/>
        <w:t>Делегиране на балансиращите групи</w:t>
      </w:r>
    </w:p>
    <w:p w:rsidR="009C5F27" w:rsidRDefault="00B56235" w:rsidP="006049D4">
      <w:pPr>
        <w:keepNext/>
        <w:spacing w:before="240" w:after="60"/>
        <w:jc w:val="both"/>
        <w:outlineLvl w:val="2"/>
        <w:rPr>
          <w:b/>
          <w:sz w:val="24"/>
        </w:rPr>
      </w:pPr>
      <w:r>
        <w:tab/>
        <w:t>Раздел „История на делегиране“ (</w:t>
      </w:r>
      <w:r w:rsidRPr="006049D4">
        <w:t>“</w:t>
      </w:r>
      <w:r>
        <w:rPr>
          <w:lang w:val="en-US"/>
        </w:rPr>
        <w:t>Delegation</w:t>
      </w:r>
      <w:r w:rsidRPr="006049D4">
        <w:t xml:space="preserve"> </w:t>
      </w:r>
      <w:r>
        <w:rPr>
          <w:lang w:val="en-US"/>
        </w:rPr>
        <w:t>history</w:t>
      </w:r>
      <w:r w:rsidRPr="006049D4">
        <w:t>”</w:t>
      </w:r>
      <w:r>
        <w:t>) показва делегирането на балансиращата група. Търговците на преносна способност не могат да променят или добавят делегиране на балансиращата група.</w:t>
      </w:r>
    </w:p>
    <w:p w:rsidR="009C5F27" w:rsidRDefault="00B56235">
      <w:pPr>
        <w:keepNext/>
        <w:spacing w:before="240" w:after="60"/>
        <w:outlineLvl w:val="2"/>
        <w:rPr>
          <w:b/>
          <w:sz w:val="24"/>
        </w:rPr>
      </w:pPr>
      <w:r>
        <w:rPr>
          <w:b/>
          <w:noProof/>
          <w:sz w:val="24"/>
          <w:lang w:eastAsia="bg-BG"/>
        </w:rPr>
        <w:drawing>
          <wp:inline distT="0" distB="0" distL="0" distR="0" wp14:anchorId="4FF58D71" wp14:editId="1A400B7C">
            <wp:extent cx="5796280" cy="11144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ele.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96280" cy="1114425"/>
                    </a:xfrm>
                    <a:prstGeom prst="rect">
                      <a:avLst/>
                    </a:prstGeom>
                  </pic:spPr>
                </pic:pic>
              </a:graphicData>
            </a:graphic>
          </wp:inline>
        </w:drawing>
      </w:r>
    </w:p>
    <w:p w:rsidR="009C5F27" w:rsidRDefault="00B56235">
      <w:pPr>
        <w:pStyle w:val="Caption"/>
        <w:rPr>
          <w:b w:val="0"/>
        </w:rPr>
      </w:pPr>
      <w:r>
        <w:rPr>
          <w:b w:val="0"/>
        </w:rPr>
        <w:t>Делегиране на балансиращите групи</w:t>
      </w:r>
    </w:p>
    <w:p w:rsidR="009C5F27" w:rsidRDefault="009C5F27">
      <w:pPr>
        <w:rPr>
          <w:lang w:val="hr-HR" w:eastAsia="en-US"/>
        </w:rPr>
      </w:pPr>
    </w:p>
    <w:p w:rsidR="009C5F27" w:rsidRDefault="00B56235">
      <w:pPr>
        <w:pStyle w:val="Heading3"/>
      </w:pPr>
      <w:r>
        <w:t>Зони</w:t>
      </w:r>
    </w:p>
    <w:p w:rsidR="009C5F27" w:rsidRDefault="009C5F27">
      <w:pPr>
        <w:rPr>
          <w:lang w:val="hr-HR" w:eastAsia="en-US"/>
        </w:rPr>
      </w:pPr>
    </w:p>
    <w:p w:rsidR="009C5F27" w:rsidRDefault="00B56235" w:rsidP="006049D4">
      <w:pPr>
        <w:jc w:val="both"/>
      </w:pPr>
      <w:r>
        <w:tab/>
        <w:t>Раздел „Зони“ (</w:t>
      </w:r>
      <w:r w:rsidRPr="006049D4">
        <w:t>“</w:t>
      </w:r>
      <w:r w:rsidRPr="006049D4">
        <w:rPr>
          <w:lang w:val="hr-HR"/>
        </w:rPr>
        <w:t>Areas</w:t>
      </w:r>
      <w:r w:rsidRPr="006049D4">
        <w:t>”</w:t>
      </w:r>
      <w:r>
        <w:t>) показва контролната зона, в която има право да участва балансиращата група. Търговците на преносна способност не могат да променят или добавят делегиране на балансиращата група.</w:t>
      </w:r>
    </w:p>
    <w:p w:rsidR="009C5F27" w:rsidRDefault="009C5F27"/>
    <w:p w:rsidR="009C5F27" w:rsidRDefault="00B56235">
      <w:r>
        <w:rPr>
          <w:noProof/>
          <w:lang w:eastAsia="bg-BG"/>
        </w:rPr>
        <w:drawing>
          <wp:inline distT="0" distB="0" distL="0" distR="0" wp14:anchorId="3230DDDC" wp14:editId="17BBFE24">
            <wp:extent cx="5796280" cy="1101725"/>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rea.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96280" cy="1101725"/>
                    </a:xfrm>
                    <a:prstGeom prst="rect">
                      <a:avLst/>
                    </a:prstGeom>
                  </pic:spPr>
                </pic:pic>
              </a:graphicData>
            </a:graphic>
          </wp:inline>
        </w:drawing>
      </w:r>
    </w:p>
    <w:p w:rsidR="009C5F27" w:rsidRDefault="00B56235">
      <w:pPr>
        <w:tabs>
          <w:tab w:val="left" w:pos="1276"/>
        </w:tabs>
        <w:spacing w:before="120" w:after="240"/>
        <w:ind w:left="992" w:hanging="992"/>
        <w:jc w:val="center"/>
        <w:rPr>
          <w:rFonts w:eastAsia="Calibri"/>
          <w:bCs/>
          <w:sz w:val="22"/>
          <w:szCs w:val="18"/>
        </w:rPr>
      </w:pPr>
      <w:r>
        <w:rPr>
          <w:bCs/>
          <w:sz w:val="22"/>
          <w:szCs w:val="18"/>
        </w:rPr>
        <w:t>Зони</w:t>
      </w:r>
    </w:p>
    <w:p w:rsidR="009C5F27" w:rsidRDefault="009C5F27">
      <w:pPr>
        <w:rPr>
          <w:lang w:val="hr-HR" w:eastAsia="en-US"/>
        </w:rPr>
      </w:pPr>
    </w:p>
    <w:p w:rsidR="009C5F27" w:rsidRDefault="009C5F27">
      <w:pPr>
        <w:rPr>
          <w:lang w:val="hr-HR" w:eastAsia="en-US"/>
        </w:rPr>
      </w:pPr>
    </w:p>
    <w:p w:rsidR="009C5F27" w:rsidRDefault="00B56235">
      <w:pPr>
        <w:pStyle w:val="Heading3"/>
      </w:pPr>
      <w:r>
        <w:t>Точки на измерване</w:t>
      </w:r>
    </w:p>
    <w:p w:rsidR="009C5F27" w:rsidRDefault="009C5F27"/>
    <w:p w:rsidR="009C5F27" w:rsidRDefault="00B56235">
      <w:r>
        <w:tab/>
        <w:t>Раздел „Точки на измерване“ (</w:t>
      </w:r>
      <w:r w:rsidRPr="006049D4">
        <w:t>“</w:t>
      </w:r>
      <w:r>
        <w:rPr>
          <w:lang w:val="en-US"/>
        </w:rPr>
        <w:t>Metering</w:t>
      </w:r>
      <w:r w:rsidRPr="006049D4">
        <w:t xml:space="preserve"> </w:t>
      </w:r>
      <w:r>
        <w:rPr>
          <w:lang w:val="en-US"/>
        </w:rPr>
        <w:t>points</w:t>
      </w:r>
      <w:r w:rsidRPr="006049D4">
        <w:t>”</w:t>
      </w:r>
      <w:r>
        <w:t>) дава възможност да се прегледат всички точки на измерване, причислени към тази балансираща група.</w:t>
      </w:r>
    </w:p>
    <w:p w:rsidR="009C5F27" w:rsidRDefault="009C5F27"/>
    <w:p w:rsidR="009C5F27" w:rsidRDefault="00B56235">
      <w:r>
        <w:rPr>
          <w:noProof/>
          <w:lang w:eastAsia="bg-BG"/>
        </w:rPr>
        <w:drawing>
          <wp:inline distT="0" distB="0" distL="0" distR="0" wp14:anchorId="02376D79" wp14:editId="236F64B2">
            <wp:extent cx="5796280" cy="120777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p.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96280" cy="1207770"/>
                    </a:xfrm>
                    <a:prstGeom prst="rect">
                      <a:avLst/>
                    </a:prstGeom>
                  </pic:spPr>
                </pic:pic>
              </a:graphicData>
            </a:graphic>
          </wp:inline>
        </w:drawing>
      </w:r>
    </w:p>
    <w:p w:rsidR="009C5F27" w:rsidRDefault="00B56235">
      <w:pPr>
        <w:jc w:val="center"/>
      </w:pPr>
      <w:r>
        <w:t>Точки на измерване</w:t>
      </w:r>
    </w:p>
    <w:p w:rsidR="009C5F27" w:rsidRDefault="009C5F27">
      <w:pPr>
        <w:rPr>
          <w:b/>
          <w:sz w:val="24"/>
        </w:rPr>
      </w:pPr>
    </w:p>
    <w:p w:rsidR="009C5F27" w:rsidRDefault="00B56235">
      <w:pPr>
        <w:rPr>
          <w:b/>
          <w:sz w:val="24"/>
        </w:rPr>
      </w:pPr>
      <w:r>
        <w:br w:type="page"/>
      </w:r>
    </w:p>
    <w:p w:rsidR="009C5F27" w:rsidRDefault="00B56235">
      <w:pPr>
        <w:pStyle w:val="Heading2"/>
      </w:pPr>
      <w:bookmarkStart w:id="31" w:name="_Toc10122900"/>
      <w:r>
        <w:lastRenderedPageBreak/>
        <w:t>Потребители</w:t>
      </w:r>
      <w:bookmarkEnd w:id="31"/>
    </w:p>
    <w:p w:rsidR="009C5F27" w:rsidRDefault="009C5F27">
      <w:pPr>
        <w:rPr>
          <w:lang w:val="en-US"/>
        </w:rPr>
      </w:pPr>
    </w:p>
    <w:p w:rsidR="009C5F27" w:rsidRDefault="00B56235" w:rsidP="006049D4">
      <w:pPr>
        <w:jc w:val="both"/>
      </w:pPr>
      <w:r>
        <w:rPr>
          <w:color w:val="212121"/>
        </w:rPr>
        <w:tab/>
        <w:t>Екран „Потребители“ (</w:t>
      </w:r>
      <w:r w:rsidRPr="006049D4">
        <w:rPr>
          <w:color w:val="212121"/>
        </w:rPr>
        <w:t>“</w:t>
      </w:r>
      <w:r>
        <w:rPr>
          <w:color w:val="212121"/>
          <w:lang w:val="en-US"/>
        </w:rPr>
        <w:t>Users</w:t>
      </w:r>
      <w:r w:rsidRPr="006049D4">
        <w:rPr>
          <w:color w:val="212121"/>
        </w:rPr>
        <w:t>”</w:t>
      </w:r>
      <w:r>
        <w:rPr>
          <w:color w:val="212121"/>
        </w:rPr>
        <w:t xml:space="preserve">) дава възможност да се прегледат всички потребители в системата, причислени към избраната компания. </w:t>
      </w:r>
      <w:r>
        <w:t>Данни могат да се филтрират чрез въвеждане на текст в полетата на филтъра. Филтрирането може да се премахне чрез избор на бутон “Отмени филтри” („</w:t>
      </w:r>
      <w:proofErr w:type="spellStart"/>
      <w:r>
        <w:t>Cancel</w:t>
      </w:r>
      <w:proofErr w:type="spellEnd"/>
      <w:r>
        <w:t xml:space="preserve"> </w:t>
      </w:r>
      <w:proofErr w:type="spellStart"/>
      <w:r>
        <w:t>filters</w:t>
      </w:r>
      <w:proofErr w:type="spellEnd"/>
      <w:r>
        <w:t>“).</w:t>
      </w:r>
      <w:r>
        <w:rPr>
          <w:color w:val="212121"/>
        </w:rPr>
        <w:t xml:space="preserve"> </w:t>
      </w:r>
      <w:r>
        <w:t xml:space="preserve">С избиране на икона </w:t>
      </w:r>
      <w:proofErr w:type="spellStart"/>
      <w:r>
        <w:t>excel</w:t>
      </w:r>
      <w:proofErr w:type="spellEnd"/>
      <w:r>
        <w:t>, редовете с данни се прехвърлят в CSV файл. Данните за съществуващите потребители могат да се преразгледат с избор на иконата от дясната страна на екрана.</w:t>
      </w:r>
    </w:p>
    <w:p w:rsidR="009C5F27" w:rsidRDefault="009C5F27"/>
    <w:p w:rsidR="009C5F27" w:rsidRDefault="009C5F27"/>
    <w:p w:rsidR="009C5F27" w:rsidRDefault="00B56235">
      <w:pPr>
        <w:keepNext/>
      </w:pPr>
      <w:r>
        <w:rPr>
          <w:noProof/>
          <w:lang w:eastAsia="bg-BG"/>
        </w:rPr>
        <w:drawing>
          <wp:inline distT="0" distB="0" distL="0" distR="0" wp14:anchorId="265F7937" wp14:editId="37B9F8D1">
            <wp:extent cx="5796280" cy="17754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user.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96280" cy="1775460"/>
                    </a:xfrm>
                    <a:prstGeom prst="rect">
                      <a:avLst/>
                    </a:prstGeom>
                  </pic:spPr>
                </pic:pic>
              </a:graphicData>
            </a:graphic>
          </wp:inline>
        </w:drawing>
      </w:r>
    </w:p>
    <w:p w:rsidR="009C5F27" w:rsidRDefault="00B56235">
      <w:pPr>
        <w:keepNext/>
        <w:jc w:val="center"/>
      </w:pPr>
      <w:r>
        <w:t>Потребители</w:t>
      </w:r>
    </w:p>
    <w:p w:rsidR="009C5F27" w:rsidRDefault="009C5F27">
      <w:pPr>
        <w:rPr>
          <w:b/>
          <w:sz w:val="24"/>
        </w:rPr>
      </w:pPr>
    </w:p>
    <w:p w:rsidR="009C5F27" w:rsidRDefault="00B56235">
      <w:r>
        <w:t>Търговците на преносна способност не могат да променят потребителската информация.</w:t>
      </w:r>
    </w:p>
    <w:p w:rsidR="009C5F27" w:rsidRDefault="009C5F27"/>
    <w:p w:rsidR="009C5F27" w:rsidRDefault="00B56235">
      <w:r>
        <w:rPr>
          <w:noProof/>
          <w:lang w:eastAsia="bg-BG"/>
        </w:rPr>
        <w:drawing>
          <wp:inline distT="0" distB="0" distL="0" distR="0" wp14:anchorId="748B287D" wp14:editId="199D36F4">
            <wp:extent cx="5796280" cy="263271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userdetail.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96280" cy="2632710"/>
                    </a:xfrm>
                    <a:prstGeom prst="rect">
                      <a:avLst/>
                    </a:prstGeom>
                  </pic:spPr>
                </pic:pic>
              </a:graphicData>
            </a:graphic>
          </wp:inline>
        </w:drawing>
      </w:r>
    </w:p>
    <w:p w:rsidR="009C5F27" w:rsidRDefault="00B56235">
      <w:pPr>
        <w:jc w:val="center"/>
      </w:pPr>
      <w:r>
        <w:t>Данни за потребителя</w:t>
      </w:r>
    </w:p>
    <w:p w:rsidR="009C5F27" w:rsidRDefault="009C5F27">
      <w:pPr>
        <w:rPr>
          <w:lang w:val="en-US"/>
        </w:rPr>
      </w:pPr>
    </w:p>
    <w:p w:rsidR="009C5F27" w:rsidRDefault="00B56235">
      <w:pPr>
        <w:rPr>
          <w:b/>
          <w:sz w:val="24"/>
        </w:rPr>
      </w:pPr>
      <w:r>
        <w:br w:type="page"/>
      </w:r>
    </w:p>
    <w:p w:rsidR="009C5F27" w:rsidRDefault="00B56235">
      <w:pPr>
        <w:pStyle w:val="Heading3"/>
      </w:pPr>
      <w:r>
        <w:lastRenderedPageBreak/>
        <w:t xml:space="preserve">Роли на </w:t>
      </w:r>
      <w:proofErr w:type="spellStart"/>
      <w:r>
        <w:t>на</w:t>
      </w:r>
      <w:proofErr w:type="spellEnd"/>
      <w:r>
        <w:t xml:space="preserve"> потребителя в компании</w:t>
      </w:r>
    </w:p>
    <w:p w:rsidR="009C5F27" w:rsidRPr="006049D4" w:rsidRDefault="009C5F27"/>
    <w:p w:rsidR="009C5F27" w:rsidRDefault="00B56235">
      <w:pPr>
        <w:ind w:left="680"/>
      </w:pPr>
      <w:r>
        <w:t>Раздел „Роли на потребителя в компанията“ (</w:t>
      </w:r>
      <w:r w:rsidRPr="006049D4">
        <w:t>“</w:t>
      </w:r>
      <w:r>
        <w:rPr>
          <w:lang w:val="en-US"/>
        </w:rPr>
        <w:t>Company</w:t>
      </w:r>
      <w:r w:rsidRPr="006049D4">
        <w:t xml:space="preserve"> </w:t>
      </w:r>
      <w:r>
        <w:rPr>
          <w:lang w:val="en-US"/>
        </w:rPr>
        <w:t>roles</w:t>
      </w:r>
      <w:r w:rsidRPr="006049D4">
        <w:t>”</w:t>
      </w:r>
      <w:r>
        <w:t>) представя преглед на ролите на потребителя в съответните компании.</w:t>
      </w:r>
    </w:p>
    <w:p w:rsidR="009C5F27" w:rsidRPr="006049D4" w:rsidRDefault="009C5F27">
      <w:pPr>
        <w:ind w:left="680"/>
      </w:pPr>
    </w:p>
    <w:p w:rsidR="009C5F27" w:rsidRDefault="00B56235">
      <w:pPr>
        <w:ind w:left="680"/>
        <w:jc w:val="both"/>
      </w:pPr>
      <w:r>
        <w:rPr>
          <w:noProof/>
          <w:lang w:eastAsia="bg-BG"/>
        </w:rPr>
        <w:drawing>
          <wp:inline distT="0" distB="0" distL="0" distR="0" wp14:anchorId="46B5D679" wp14:editId="48F1CCAE">
            <wp:extent cx="5796280" cy="2146300"/>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omproles.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96280" cy="2146300"/>
                    </a:xfrm>
                    <a:prstGeom prst="rect">
                      <a:avLst/>
                    </a:prstGeom>
                  </pic:spPr>
                </pic:pic>
              </a:graphicData>
            </a:graphic>
          </wp:inline>
        </w:drawing>
      </w:r>
    </w:p>
    <w:p w:rsidR="009C5F27" w:rsidRDefault="00B56235">
      <w:pPr>
        <w:ind w:left="680"/>
        <w:jc w:val="center"/>
      </w:pPr>
      <w:r>
        <w:t>Роли на потребителя в компании</w:t>
      </w:r>
    </w:p>
    <w:p w:rsidR="009C5F27" w:rsidRDefault="00B56235">
      <w:pPr>
        <w:ind w:left="680"/>
      </w:pPr>
      <w:r>
        <w:t xml:space="preserve"> </w:t>
      </w:r>
    </w:p>
    <w:p w:rsidR="009C5F27" w:rsidRDefault="00B56235">
      <w:pPr>
        <w:rPr>
          <w:b/>
          <w:sz w:val="24"/>
        </w:rPr>
      </w:pPr>
      <w:r>
        <w:br w:type="page"/>
      </w:r>
    </w:p>
    <w:p w:rsidR="009C5F27" w:rsidRDefault="00B56235">
      <w:pPr>
        <w:pStyle w:val="Heading2"/>
      </w:pPr>
      <w:bookmarkStart w:id="32" w:name="_Toc10122901"/>
      <w:r>
        <w:lastRenderedPageBreak/>
        <w:t>Инсталации</w:t>
      </w:r>
      <w:bookmarkEnd w:id="32"/>
    </w:p>
    <w:p w:rsidR="009C5F27" w:rsidRDefault="009C5F27">
      <w:pPr>
        <w:rPr>
          <w:lang w:val="en-US"/>
        </w:rPr>
      </w:pPr>
    </w:p>
    <w:p w:rsidR="009C5F27" w:rsidRDefault="00B56235" w:rsidP="006049D4">
      <w:pPr>
        <w:ind w:firstLine="680"/>
        <w:jc w:val="both"/>
      </w:pPr>
      <w:r>
        <w:rPr>
          <w:color w:val="212121"/>
        </w:rPr>
        <w:t>Меню „Инсталации“ (</w:t>
      </w:r>
      <w:r>
        <w:rPr>
          <w:color w:val="212121"/>
          <w:lang w:val="en-US"/>
        </w:rPr>
        <w:t>“Installations”</w:t>
      </w:r>
      <w:r>
        <w:rPr>
          <w:color w:val="212121"/>
        </w:rPr>
        <w:t xml:space="preserve">) дава възможност да се прегледат електроцентралите, генераторите, помпите и точките на измерване, причислени към съответната компания. </w:t>
      </w:r>
      <w:r>
        <w:t>Търговците на преносна способност могат да преглеждат единствено списъка на посочените инсталации, но не могат да ги редактират.</w:t>
      </w:r>
    </w:p>
    <w:p w:rsidR="009C5F27" w:rsidRDefault="009C5F27">
      <w:pPr>
        <w:ind w:firstLine="680"/>
      </w:pPr>
    </w:p>
    <w:p w:rsidR="009C5F27" w:rsidRDefault="00B56235">
      <w:pPr>
        <w:pStyle w:val="Heading3"/>
      </w:pPr>
      <w:r>
        <w:t>Електроцентрали</w:t>
      </w:r>
    </w:p>
    <w:p w:rsidR="009C5F27" w:rsidRDefault="009C5F27"/>
    <w:p w:rsidR="009C5F27" w:rsidRDefault="00B56235" w:rsidP="006049D4">
      <w:pPr>
        <w:ind w:firstLine="720"/>
        <w:jc w:val="both"/>
      </w:pPr>
      <w:r>
        <w:t>Данни могат да се филтрират чрез въвеждане на текст в полетата на филтъра. Филтрирането може да се премахне чрез избор на бутон “Отмени филтри” („</w:t>
      </w:r>
      <w:proofErr w:type="spellStart"/>
      <w:r>
        <w:t>Cancel</w:t>
      </w:r>
      <w:proofErr w:type="spellEnd"/>
      <w:r>
        <w:t xml:space="preserve"> </w:t>
      </w:r>
      <w:proofErr w:type="spellStart"/>
      <w:r>
        <w:t>filters</w:t>
      </w:r>
      <w:proofErr w:type="spellEnd"/>
      <w:r>
        <w:t>“).</w:t>
      </w:r>
      <w:r>
        <w:rPr>
          <w:color w:val="212121"/>
        </w:rPr>
        <w:t xml:space="preserve"> </w:t>
      </w:r>
      <w:r>
        <w:t xml:space="preserve">С избиране на икона </w:t>
      </w:r>
      <w:proofErr w:type="spellStart"/>
      <w:r>
        <w:t>excel</w:t>
      </w:r>
      <w:proofErr w:type="spellEnd"/>
      <w:r>
        <w:t xml:space="preserve">, редовете с данни се прехвърлят в CSV файл. </w:t>
      </w:r>
      <w:r w:rsidR="0034267F" w:rsidRPr="0034267F">
        <w:t>С маркиране на „Покажи само активни“ (“</w:t>
      </w:r>
      <w:proofErr w:type="spellStart"/>
      <w:r w:rsidR="0034267F" w:rsidRPr="0034267F">
        <w:t>Show</w:t>
      </w:r>
      <w:proofErr w:type="spellEnd"/>
      <w:r w:rsidR="0034267F" w:rsidRPr="0034267F">
        <w:t xml:space="preserve"> </w:t>
      </w:r>
      <w:proofErr w:type="spellStart"/>
      <w:r w:rsidR="0034267F" w:rsidRPr="0034267F">
        <w:t>valid</w:t>
      </w:r>
      <w:proofErr w:type="spellEnd"/>
      <w:r w:rsidR="0034267F" w:rsidRPr="0034267F">
        <w:t xml:space="preserve"> </w:t>
      </w:r>
      <w:proofErr w:type="spellStart"/>
      <w:r w:rsidR="0034267F" w:rsidRPr="0034267F">
        <w:t>only</w:t>
      </w:r>
      <w:proofErr w:type="spellEnd"/>
      <w:r w:rsidR="0034267F" w:rsidRPr="0034267F">
        <w:t xml:space="preserve">”) се показва списък само на </w:t>
      </w:r>
      <w:r w:rsidR="0034267F">
        <w:t>електроцентралите</w:t>
      </w:r>
      <w:r w:rsidR="0034267F" w:rsidRPr="0034267F">
        <w:t>, които са активни</w:t>
      </w:r>
      <w:bookmarkStart w:id="33" w:name="_GoBack"/>
      <w:bookmarkEnd w:id="33"/>
      <w:r>
        <w:t>.</w:t>
      </w:r>
    </w:p>
    <w:p w:rsidR="009C5F27" w:rsidRDefault="00B56235">
      <w:pPr>
        <w:jc w:val="center"/>
      </w:pPr>
      <w:r>
        <w:rPr>
          <w:noProof/>
          <w:lang w:eastAsia="bg-BG"/>
        </w:rPr>
        <w:drawing>
          <wp:inline distT="0" distB="0" distL="0" distR="0" wp14:anchorId="77CE1AAF" wp14:editId="38E29081">
            <wp:extent cx="5796280" cy="2760345"/>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owerplants.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96280" cy="2760345"/>
                    </a:xfrm>
                    <a:prstGeom prst="rect">
                      <a:avLst/>
                    </a:prstGeom>
                  </pic:spPr>
                </pic:pic>
              </a:graphicData>
            </a:graphic>
          </wp:inline>
        </w:drawing>
      </w:r>
    </w:p>
    <w:p w:rsidR="009C5F27" w:rsidRDefault="00B56235">
      <w:pPr>
        <w:jc w:val="center"/>
      </w:pPr>
      <w:r>
        <w:t>Електроцентрали</w:t>
      </w:r>
    </w:p>
    <w:p w:rsidR="009C5F27" w:rsidRDefault="00B56235">
      <w:pPr>
        <w:rPr>
          <w:b/>
          <w:sz w:val="24"/>
        </w:rPr>
      </w:pPr>
      <w:r>
        <w:br w:type="page"/>
      </w:r>
    </w:p>
    <w:p w:rsidR="009C5F27" w:rsidRDefault="00B56235">
      <w:pPr>
        <w:pStyle w:val="Heading3"/>
      </w:pPr>
      <w:r>
        <w:lastRenderedPageBreak/>
        <w:t>Генератори</w:t>
      </w:r>
    </w:p>
    <w:p w:rsidR="009C5F27" w:rsidRDefault="009C5F27"/>
    <w:p w:rsidR="009C5F27" w:rsidRDefault="00B56235" w:rsidP="006049D4">
      <w:pPr>
        <w:ind w:firstLine="720"/>
        <w:jc w:val="both"/>
      </w:pPr>
      <w:r>
        <w:t>Данни могат да се филтрират чрез въвеждане на текст в полетата на филтъра. Филтрирането може да се премахне чрез избор на бутон “Отмени филтри” („</w:t>
      </w:r>
      <w:proofErr w:type="spellStart"/>
      <w:r>
        <w:t>Cancel</w:t>
      </w:r>
      <w:proofErr w:type="spellEnd"/>
      <w:r>
        <w:t xml:space="preserve"> </w:t>
      </w:r>
      <w:proofErr w:type="spellStart"/>
      <w:r>
        <w:t>filters</w:t>
      </w:r>
      <w:proofErr w:type="spellEnd"/>
      <w:r>
        <w:t>“).</w:t>
      </w:r>
      <w:r>
        <w:rPr>
          <w:color w:val="212121"/>
        </w:rPr>
        <w:t xml:space="preserve"> </w:t>
      </w:r>
      <w:r>
        <w:t xml:space="preserve">С избиране на икона </w:t>
      </w:r>
      <w:proofErr w:type="spellStart"/>
      <w:r>
        <w:t>excel</w:t>
      </w:r>
      <w:proofErr w:type="spellEnd"/>
      <w:r>
        <w:t>, редовете с данни се прехвърлят в CSV файл. С маркиране на „Покажи само активни“ (</w:t>
      </w:r>
      <w:r w:rsidRPr="006049D4">
        <w:t>“</w:t>
      </w:r>
      <w:r>
        <w:rPr>
          <w:lang w:val="en-US"/>
        </w:rPr>
        <w:t>Show</w:t>
      </w:r>
      <w:r w:rsidRPr="006049D4">
        <w:t xml:space="preserve"> </w:t>
      </w:r>
      <w:r>
        <w:rPr>
          <w:lang w:val="en-US"/>
        </w:rPr>
        <w:t>valid</w:t>
      </w:r>
      <w:r w:rsidRPr="006049D4">
        <w:t xml:space="preserve"> </w:t>
      </w:r>
      <w:r>
        <w:rPr>
          <w:lang w:val="en-US"/>
        </w:rPr>
        <w:t>only</w:t>
      </w:r>
      <w:r w:rsidRPr="006049D4">
        <w:t>”)</w:t>
      </w:r>
      <w:r>
        <w:t xml:space="preserve"> се показва списък само на генераторите, които са активни.</w:t>
      </w:r>
    </w:p>
    <w:p w:rsidR="009C5F27" w:rsidRDefault="009C5F27"/>
    <w:p w:rsidR="009C5F27" w:rsidRDefault="00B56235">
      <w:pPr>
        <w:jc w:val="center"/>
      </w:pPr>
      <w:r>
        <w:rPr>
          <w:noProof/>
          <w:lang w:eastAsia="bg-BG"/>
        </w:rPr>
        <w:drawing>
          <wp:inline distT="0" distB="0" distL="0" distR="0" wp14:anchorId="6DB0A32A" wp14:editId="2C70658A">
            <wp:extent cx="5796280" cy="253555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ener.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96280" cy="2535555"/>
                    </a:xfrm>
                    <a:prstGeom prst="rect">
                      <a:avLst/>
                    </a:prstGeom>
                  </pic:spPr>
                </pic:pic>
              </a:graphicData>
            </a:graphic>
          </wp:inline>
        </w:drawing>
      </w:r>
    </w:p>
    <w:p w:rsidR="009C5F27" w:rsidRDefault="00B56235">
      <w:pPr>
        <w:jc w:val="center"/>
      </w:pPr>
      <w:r>
        <w:t>Генератори</w:t>
      </w:r>
    </w:p>
    <w:p w:rsidR="009C5F27" w:rsidRDefault="00B56235">
      <w:pPr>
        <w:pStyle w:val="Heading3"/>
      </w:pPr>
      <w:r>
        <w:t>Помпи</w:t>
      </w:r>
    </w:p>
    <w:p w:rsidR="009C5F27" w:rsidRDefault="00B56235" w:rsidP="006049D4">
      <w:pPr>
        <w:ind w:firstLine="720"/>
        <w:jc w:val="both"/>
      </w:pPr>
      <w:r>
        <w:t>Данни могат да се филтрират чрез въвеждане на текст в полетата на филтъра. Филтрирането може да се премахне чрез избор на бутон “Отмени филтри” („</w:t>
      </w:r>
      <w:proofErr w:type="spellStart"/>
      <w:r>
        <w:t>Cancel</w:t>
      </w:r>
      <w:proofErr w:type="spellEnd"/>
      <w:r>
        <w:t xml:space="preserve"> </w:t>
      </w:r>
      <w:proofErr w:type="spellStart"/>
      <w:r>
        <w:t>filters</w:t>
      </w:r>
      <w:proofErr w:type="spellEnd"/>
      <w:r>
        <w:t>“).</w:t>
      </w:r>
      <w:r>
        <w:rPr>
          <w:color w:val="212121"/>
        </w:rPr>
        <w:t xml:space="preserve"> </w:t>
      </w:r>
      <w:r>
        <w:t xml:space="preserve">С избиране на икона </w:t>
      </w:r>
      <w:proofErr w:type="spellStart"/>
      <w:r>
        <w:t>excel</w:t>
      </w:r>
      <w:proofErr w:type="spellEnd"/>
      <w:r>
        <w:t>, мрежовите данни се прехвърлят в CSV файл. С маркиране на „Покажи само активни“ (“</w:t>
      </w:r>
      <w:r>
        <w:rPr>
          <w:lang w:val="en-US"/>
        </w:rPr>
        <w:t>Show</w:t>
      </w:r>
      <w:r>
        <w:t xml:space="preserve"> </w:t>
      </w:r>
      <w:r>
        <w:rPr>
          <w:lang w:val="en-US"/>
        </w:rPr>
        <w:t>valid</w:t>
      </w:r>
      <w:r>
        <w:t xml:space="preserve"> </w:t>
      </w:r>
      <w:r>
        <w:rPr>
          <w:lang w:val="en-US"/>
        </w:rPr>
        <w:t>only</w:t>
      </w:r>
      <w:r>
        <w:t>”) се показва списък само на помпите, които са активни.</w:t>
      </w:r>
    </w:p>
    <w:p w:rsidR="009C5F27" w:rsidRDefault="009C5F27"/>
    <w:p w:rsidR="009C5F27" w:rsidRDefault="00B56235">
      <w:r>
        <w:rPr>
          <w:noProof/>
          <w:lang w:eastAsia="bg-BG"/>
        </w:rPr>
        <w:drawing>
          <wp:inline distT="0" distB="0" distL="0" distR="0" wp14:anchorId="2964D13C" wp14:editId="1BBBB427">
            <wp:extent cx="5796280" cy="1515745"/>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umps.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96280" cy="1515745"/>
                    </a:xfrm>
                    <a:prstGeom prst="rect">
                      <a:avLst/>
                    </a:prstGeom>
                  </pic:spPr>
                </pic:pic>
              </a:graphicData>
            </a:graphic>
          </wp:inline>
        </w:drawing>
      </w:r>
    </w:p>
    <w:p w:rsidR="009C5F27" w:rsidRDefault="00B56235">
      <w:pPr>
        <w:jc w:val="center"/>
      </w:pPr>
      <w:r>
        <w:t>Помпи</w:t>
      </w:r>
    </w:p>
    <w:p w:rsidR="009C5F27" w:rsidRDefault="00B56235">
      <w:pPr>
        <w:rPr>
          <w:b/>
          <w:sz w:val="24"/>
        </w:rPr>
      </w:pPr>
      <w:r>
        <w:br w:type="page"/>
      </w:r>
    </w:p>
    <w:p w:rsidR="009C5F27" w:rsidRDefault="00B56235">
      <w:pPr>
        <w:pStyle w:val="Heading3"/>
      </w:pPr>
      <w:r>
        <w:lastRenderedPageBreak/>
        <w:t>Точки на измерване</w:t>
      </w:r>
    </w:p>
    <w:p w:rsidR="009C5F27" w:rsidRDefault="009C5F27"/>
    <w:p w:rsidR="009C5F27" w:rsidRDefault="00B56235" w:rsidP="006049D4">
      <w:pPr>
        <w:ind w:firstLine="720"/>
        <w:jc w:val="both"/>
      </w:pPr>
      <w:r>
        <w:t>Данни могат да се филтрират чрез въвеждане на текст в полетата на филтъра. Филтрирането може да се премахне чрез избор на бутон “Отмени филтри” („</w:t>
      </w:r>
      <w:proofErr w:type="spellStart"/>
      <w:r>
        <w:t>Cancel</w:t>
      </w:r>
      <w:proofErr w:type="spellEnd"/>
      <w:r>
        <w:t xml:space="preserve"> </w:t>
      </w:r>
      <w:proofErr w:type="spellStart"/>
      <w:r>
        <w:t>filters</w:t>
      </w:r>
      <w:proofErr w:type="spellEnd"/>
      <w:r>
        <w:t>“).</w:t>
      </w:r>
      <w:r>
        <w:rPr>
          <w:color w:val="212121"/>
        </w:rPr>
        <w:t xml:space="preserve"> </w:t>
      </w:r>
      <w:r>
        <w:t xml:space="preserve">С избиране на икона </w:t>
      </w:r>
      <w:proofErr w:type="spellStart"/>
      <w:r>
        <w:t>excel</w:t>
      </w:r>
      <w:proofErr w:type="spellEnd"/>
      <w:r>
        <w:t xml:space="preserve">, мрежовите данни се прехвърлят в CSV файл. </w:t>
      </w:r>
    </w:p>
    <w:p w:rsidR="009C5F27" w:rsidRDefault="009C5F27"/>
    <w:p w:rsidR="009C5F27" w:rsidRDefault="00B56235">
      <w:pPr>
        <w:pStyle w:val="Caption"/>
      </w:pPr>
      <w:r>
        <w:rPr>
          <w:noProof/>
          <w:lang w:eastAsia="bg-BG"/>
        </w:rPr>
        <w:drawing>
          <wp:inline distT="0" distB="0" distL="0" distR="0" wp14:anchorId="7A2CCB9D" wp14:editId="238C3F0C">
            <wp:extent cx="5796280" cy="261556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etzering.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96280" cy="2615565"/>
                    </a:xfrm>
                    <a:prstGeom prst="rect">
                      <a:avLst/>
                    </a:prstGeom>
                  </pic:spPr>
                </pic:pic>
              </a:graphicData>
            </a:graphic>
          </wp:inline>
        </w:drawing>
      </w:r>
    </w:p>
    <w:p w:rsidR="009C5F27" w:rsidRDefault="00B56235">
      <w:pPr>
        <w:jc w:val="center"/>
      </w:pPr>
      <w:r>
        <w:t>Точки на измерване</w:t>
      </w:r>
    </w:p>
    <w:p w:rsidR="009C5F27" w:rsidRDefault="00B56235">
      <w:pPr>
        <w:pStyle w:val="Caption"/>
      </w:pPr>
      <w:r>
        <w:br w:type="page"/>
      </w:r>
    </w:p>
    <w:p w:rsidR="009C5F27" w:rsidRDefault="00B56235">
      <w:pPr>
        <w:pStyle w:val="Heading2"/>
      </w:pPr>
      <w:bookmarkStart w:id="34" w:name="_Toc10122902"/>
      <w:r>
        <w:lastRenderedPageBreak/>
        <w:t>Система</w:t>
      </w:r>
      <w:bookmarkEnd w:id="34"/>
    </w:p>
    <w:p w:rsidR="009C5F27" w:rsidRDefault="00B56235">
      <w:pPr>
        <w:pStyle w:val="Heading3"/>
      </w:pPr>
      <w:r>
        <w:t>Активни потребители</w:t>
      </w:r>
    </w:p>
    <w:p w:rsidR="009C5F27" w:rsidRDefault="009C5F27">
      <w:pPr>
        <w:rPr>
          <w:lang w:val="en-US"/>
        </w:rPr>
      </w:pPr>
    </w:p>
    <w:p w:rsidR="009C5F27" w:rsidRDefault="00B56235" w:rsidP="006049D4">
      <w:pPr>
        <w:jc w:val="both"/>
      </w:pPr>
      <w:r>
        <w:rPr>
          <w:color w:val="212121"/>
        </w:rPr>
        <w:tab/>
        <w:t>Екран „Активни потребители“ (</w:t>
      </w:r>
      <w:r w:rsidRPr="006049D4">
        <w:rPr>
          <w:color w:val="212121"/>
        </w:rPr>
        <w:t>“</w:t>
      </w:r>
      <w:r>
        <w:rPr>
          <w:color w:val="212121"/>
          <w:lang w:val="en-US"/>
        </w:rPr>
        <w:t>Active</w:t>
      </w:r>
      <w:r w:rsidRPr="006049D4">
        <w:rPr>
          <w:color w:val="212121"/>
        </w:rPr>
        <w:t xml:space="preserve"> </w:t>
      </w:r>
      <w:r>
        <w:rPr>
          <w:color w:val="212121"/>
          <w:lang w:val="en-US"/>
        </w:rPr>
        <w:t>users</w:t>
      </w:r>
      <w:r w:rsidRPr="006049D4">
        <w:rPr>
          <w:color w:val="212121"/>
        </w:rPr>
        <w:t>:</w:t>
      </w:r>
      <w:r>
        <w:rPr>
          <w:color w:val="212121"/>
        </w:rPr>
        <w:t xml:space="preserve">) показва всички потребители, причислени към избраната компания, които са влезли в системата в този момент. </w:t>
      </w:r>
      <w:r>
        <w:t xml:space="preserve">С избиране на икона </w:t>
      </w:r>
      <w:proofErr w:type="spellStart"/>
      <w:r>
        <w:t>excel</w:t>
      </w:r>
      <w:proofErr w:type="spellEnd"/>
      <w:r>
        <w:t>, има възможност за прехвърляне на данни в CSV документ.</w:t>
      </w:r>
    </w:p>
    <w:p w:rsidR="009C5F27" w:rsidRDefault="009C5F27"/>
    <w:p w:rsidR="009C5F27" w:rsidRDefault="00B56235">
      <w:pPr>
        <w:keepNext/>
      </w:pPr>
      <w:r>
        <w:rPr>
          <w:noProof/>
          <w:lang w:eastAsia="bg-BG"/>
        </w:rPr>
        <w:drawing>
          <wp:inline distT="0" distB="0" distL="0" distR="0" wp14:anchorId="401A8BB7" wp14:editId="556ECB63">
            <wp:extent cx="5796280" cy="141351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ctivusers.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96280" cy="1413510"/>
                    </a:xfrm>
                    <a:prstGeom prst="rect">
                      <a:avLst/>
                    </a:prstGeom>
                  </pic:spPr>
                </pic:pic>
              </a:graphicData>
            </a:graphic>
          </wp:inline>
        </w:drawing>
      </w:r>
    </w:p>
    <w:p w:rsidR="009C5F27" w:rsidRDefault="00B56235">
      <w:pPr>
        <w:pStyle w:val="Caption"/>
        <w:rPr>
          <w:b w:val="0"/>
        </w:rPr>
      </w:pPr>
      <w:r>
        <w:rPr>
          <w:b w:val="0"/>
        </w:rPr>
        <w:t>Активни потребители</w:t>
      </w:r>
    </w:p>
    <w:p w:rsidR="009C5F27" w:rsidRDefault="00B56235">
      <w:pPr>
        <w:rPr>
          <w:rFonts w:eastAsia="Calibri"/>
          <w:bCs/>
          <w:sz w:val="22"/>
          <w:szCs w:val="18"/>
        </w:rPr>
      </w:pPr>
      <w:r>
        <w:br w:type="page"/>
      </w:r>
    </w:p>
    <w:p w:rsidR="009C5F27" w:rsidRDefault="009C5F27">
      <w:pPr>
        <w:pStyle w:val="Caption"/>
        <w:rPr>
          <w:b w:val="0"/>
        </w:rPr>
      </w:pPr>
    </w:p>
    <w:p w:rsidR="009C5F27" w:rsidRDefault="00B56235">
      <w:pPr>
        <w:pStyle w:val="Heading1"/>
      </w:pPr>
      <w:bookmarkStart w:id="35" w:name="_Toc10122903"/>
      <w:r>
        <w:t>Модул Търгове</w:t>
      </w:r>
      <w:r w:rsidRPr="006049D4">
        <w:t xml:space="preserve"> ЗА ПРЕНОСНА СПОСОБНОСТ</w:t>
      </w:r>
      <w:bookmarkEnd w:id="35"/>
    </w:p>
    <w:p w:rsidR="009C5F27" w:rsidRDefault="00B56235" w:rsidP="006049D4">
      <w:pPr>
        <w:jc w:val="both"/>
        <w:rPr>
          <w:lang w:val="hr-HR"/>
        </w:rPr>
      </w:pPr>
      <w:bookmarkStart w:id="36" w:name="_Ref58031665"/>
      <w:r>
        <w:tab/>
        <w:t>Ръководството за потребителите за търговете за преносна способност обхваща бизнес процесите, касаещи трансграничната преносна способност.</w:t>
      </w:r>
      <w:bookmarkEnd w:id="36"/>
    </w:p>
    <w:p w:rsidR="009C5F27" w:rsidRDefault="00B56235">
      <w:pPr>
        <w:pStyle w:val="Heading2"/>
      </w:pPr>
      <w:bookmarkStart w:id="37" w:name="_Toc509301394"/>
      <w:bookmarkStart w:id="38" w:name="_Toc10122904"/>
      <w:r>
        <w:t>Търгове</w:t>
      </w:r>
      <w:bookmarkEnd w:id="37"/>
      <w:bookmarkEnd w:id="38"/>
    </w:p>
    <w:p w:rsidR="009C5F27" w:rsidRDefault="00B56235" w:rsidP="006049D4">
      <w:pPr>
        <w:jc w:val="both"/>
      </w:pPr>
      <w:r>
        <w:tab/>
        <w:t>Екран „Търгове“ (</w:t>
      </w:r>
      <w:r w:rsidRPr="006049D4">
        <w:t>“</w:t>
      </w:r>
      <w:r>
        <w:t>А</w:t>
      </w:r>
      <w:proofErr w:type="spellStart"/>
      <w:r>
        <w:rPr>
          <w:lang w:val="en-US"/>
        </w:rPr>
        <w:t>uctions</w:t>
      </w:r>
      <w:proofErr w:type="spellEnd"/>
      <w:r w:rsidRPr="006049D4">
        <w:t>”)</w:t>
      </w:r>
      <w:r>
        <w:t xml:space="preserve"> показва всички търгове за преносни способности в системата.  Потребителите могат да видят търгове, само ако имат право да подадат оферта за определената граница. По подразбиране се показват търгове, които не са по-стари от 10 дни, но потребителят може да промени броя на дните в полето. Също така, търговете могат да се филтрират по колоните на екрана.</w:t>
      </w:r>
    </w:p>
    <w:p w:rsidR="009C5F27" w:rsidRDefault="009C5F27">
      <w:pPr>
        <w:rPr>
          <w:lang w:val="hr-HR"/>
        </w:rPr>
      </w:pPr>
    </w:p>
    <w:p w:rsidR="009C5F27" w:rsidRDefault="00B56235">
      <w:r>
        <w:rPr>
          <w:noProof/>
          <w:lang w:eastAsia="bg-BG"/>
        </w:rPr>
        <w:drawing>
          <wp:inline distT="0" distB="0" distL="0" distR="0" wp14:anchorId="6BA4E68A" wp14:editId="302D3D16">
            <wp:extent cx="5796280" cy="15875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96280" cy="1587500"/>
                    </a:xfrm>
                    <a:prstGeom prst="rect">
                      <a:avLst/>
                    </a:prstGeom>
                  </pic:spPr>
                </pic:pic>
              </a:graphicData>
            </a:graphic>
          </wp:inline>
        </w:drawing>
      </w:r>
    </w:p>
    <w:p w:rsidR="009C5F27" w:rsidRDefault="00B56235">
      <w:r>
        <w:rPr>
          <w:noProof/>
          <w:lang w:eastAsia="bg-BG"/>
        </w:rPr>
        <w:drawing>
          <wp:inline distT="0" distB="0" distL="0" distR="0" wp14:anchorId="528D3FB2" wp14:editId="0FD16D2E">
            <wp:extent cx="5796280" cy="969645"/>
            <wp:effectExtent l="0" t="0" r="0" b="190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96280" cy="969645"/>
                    </a:xfrm>
                    <a:prstGeom prst="rect">
                      <a:avLst/>
                    </a:prstGeom>
                  </pic:spPr>
                </pic:pic>
              </a:graphicData>
            </a:graphic>
          </wp:inline>
        </w:drawing>
      </w:r>
    </w:p>
    <w:p w:rsidR="009C5F27" w:rsidRDefault="00B56235">
      <w:pPr>
        <w:pStyle w:val="Caption"/>
        <w:rPr>
          <w:b w:val="0"/>
        </w:rPr>
      </w:pPr>
      <w:r>
        <w:rPr>
          <w:b w:val="0"/>
        </w:rPr>
        <w:t>Списък на търговете</w:t>
      </w:r>
    </w:p>
    <w:p w:rsidR="009C5F27" w:rsidRDefault="009C5F27">
      <w:pPr>
        <w:rPr>
          <w:lang w:val="hr-HR"/>
        </w:rPr>
      </w:pPr>
    </w:p>
    <w:p w:rsidR="009C5F27" w:rsidRDefault="00B56235">
      <w:pPr>
        <w:rPr>
          <w:rFonts w:cs="Arial"/>
        </w:rPr>
      </w:pPr>
      <w:r>
        <w:tab/>
        <w:t xml:space="preserve">С избиране на търга, потребителят вижда подробна информация за него. </w:t>
      </w:r>
    </w:p>
    <w:p w:rsidR="009C5F27" w:rsidRDefault="009C5F27">
      <w:pPr>
        <w:rPr>
          <w:lang w:val="hr-HR"/>
        </w:rPr>
      </w:pPr>
    </w:p>
    <w:p w:rsidR="009C5F27" w:rsidRDefault="00B56235">
      <w:r>
        <w:rPr>
          <w:noProof/>
          <w:lang w:eastAsia="bg-BG"/>
        </w:rPr>
        <w:drawing>
          <wp:inline distT="0" distB="0" distL="0" distR="0" wp14:anchorId="70562532" wp14:editId="33DDE4CD">
            <wp:extent cx="5796280" cy="2758440"/>
            <wp:effectExtent l="0" t="0" r="0" b="381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96280" cy="2758440"/>
                    </a:xfrm>
                    <a:prstGeom prst="rect">
                      <a:avLst/>
                    </a:prstGeom>
                  </pic:spPr>
                </pic:pic>
              </a:graphicData>
            </a:graphic>
          </wp:inline>
        </w:drawing>
      </w:r>
    </w:p>
    <w:p w:rsidR="009C5F27" w:rsidRDefault="00B56235">
      <w:pPr>
        <w:pStyle w:val="Caption"/>
        <w:rPr>
          <w:b w:val="0"/>
        </w:rPr>
      </w:pPr>
      <w:r>
        <w:rPr>
          <w:b w:val="0"/>
        </w:rPr>
        <w:t>Информация за търга</w:t>
      </w:r>
    </w:p>
    <w:p w:rsidR="009C5F27" w:rsidRDefault="00B56235">
      <w:pPr>
        <w:rPr>
          <w:rFonts w:cs="Arial"/>
          <w:color w:val="212121"/>
        </w:rPr>
      </w:pPr>
      <w:r>
        <w:lastRenderedPageBreak/>
        <w:tab/>
        <w:t>Вторият раздел „Продукт” (</w:t>
      </w:r>
      <w:r w:rsidRPr="006049D4">
        <w:t>“</w:t>
      </w:r>
      <w:r>
        <w:rPr>
          <w:lang w:val="en-US"/>
        </w:rPr>
        <w:t>Product</w:t>
      </w:r>
      <w:r w:rsidRPr="006049D4">
        <w:t>”</w:t>
      </w:r>
      <w:r>
        <w:t xml:space="preserve">) показва търговете за разполагаема преносна способност по времеви интервал. Данните се визуализират </w:t>
      </w:r>
      <w:proofErr w:type="spellStart"/>
      <w:r>
        <w:t>втабличен</w:t>
      </w:r>
      <w:proofErr w:type="spellEnd"/>
      <w:r>
        <w:t xml:space="preserve"> и графичен вид.</w:t>
      </w:r>
    </w:p>
    <w:p w:rsidR="009C5F27" w:rsidRDefault="009C5F27">
      <w:pPr>
        <w:rPr>
          <w:lang w:val="hr-HR"/>
        </w:rPr>
      </w:pPr>
    </w:p>
    <w:p w:rsidR="009C5F27" w:rsidRDefault="00B56235">
      <w:r>
        <w:rPr>
          <w:noProof/>
          <w:lang w:eastAsia="bg-BG"/>
        </w:rPr>
        <w:drawing>
          <wp:inline distT="0" distB="0" distL="0" distR="0" wp14:anchorId="572F22DD" wp14:editId="46595D83">
            <wp:extent cx="5796280" cy="274637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96280" cy="2746375"/>
                    </a:xfrm>
                    <a:prstGeom prst="rect">
                      <a:avLst/>
                    </a:prstGeom>
                  </pic:spPr>
                </pic:pic>
              </a:graphicData>
            </a:graphic>
          </wp:inline>
        </w:drawing>
      </w:r>
    </w:p>
    <w:p w:rsidR="009C5F27" w:rsidRDefault="00B56235">
      <w:pPr>
        <w:jc w:val="center"/>
        <w:rPr>
          <w:sz w:val="22"/>
          <w:szCs w:val="22"/>
        </w:rPr>
      </w:pPr>
      <w:r>
        <w:rPr>
          <w:sz w:val="22"/>
          <w:szCs w:val="22"/>
        </w:rPr>
        <w:t>Графика на тръжния продукт</w:t>
      </w:r>
    </w:p>
    <w:p w:rsidR="009C5F27" w:rsidRDefault="009C5F27">
      <w:pPr>
        <w:jc w:val="center"/>
        <w:rPr>
          <w:lang w:val="hr-HR"/>
        </w:rPr>
      </w:pPr>
    </w:p>
    <w:p w:rsidR="009C5F27" w:rsidRDefault="00B56235">
      <w:r>
        <w:rPr>
          <w:noProof/>
          <w:lang w:eastAsia="bg-BG"/>
        </w:rPr>
        <w:drawing>
          <wp:inline distT="0" distB="0" distL="0" distR="0" wp14:anchorId="6D6553A3" wp14:editId="63468761">
            <wp:extent cx="5796280" cy="2737485"/>
            <wp:effectExtent l="0" t="0" r="0" b="571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96280" cy="2737485"/>
                    </a:xfrm>
                    <a:prstGeom prst="rect">
                      <a:avLst/>
                    </a:prstGeom>
                  </pic:spPr>
                </pic:pic>
              </a:graphicData>
            </a:graphic>
          </wp:inline>
        </w:drawing>
      </w:r>
    </w:p>
    <w:p w:rsidR="009C5F27" w:rsidRDefault="00B56235">
      <w:pPr>
        <w:pStyle w:val="Caption"/>
        <w:rPr>
          <w:b w:val="0"/>
        </w:rPr>
      </w:pPr>
      <w:r>
        <w:rPr>
          <w:b w:val="0"/>
        </w:rPr>
        <w:t>Таблица на тръжния продукт</w:t>
      </w:r>
    </w:p>
    <w:p w:rsidR="009C5F27" w:rsidRDefault="009C5F27">
      <w:pPr>
        <w:rPr>
          <w:lang w:val="hr-HR"/>
        </w:rPr>
      </w:pPr>
    </w:p>
    <w:p w:rsidR="009C5F27" w:rsidRDefault="00B56235" w:rsidP="006049D4">
      <w:pPr>
        <w:jc w:val="both"/>
      </w:pPr>
      <w:r>
        <w:tab/>
        <w:t>Когато търгът е отворен за оферти, третият раздел “Оферти” (</w:t>
      </w:r>
      <w:r w:rsidRPr="006049D4">
        <w:t>“</w:t>
      </w:r>
      <w:r>
        <w:rPr>
          <w:lang w:val="en-US"/>
        </w:rPr>
        <w:t>Bids</w:t>
      </w:r>
      <w:r w:rsidRPr="006049D4">
        <w:t>”)</w:t>
      </w:r>
      <w:r>
        <w:t xml:space="preserve"> става активен. Търговците могат да виждат само офертите на тяхната компания.</w:t>
      </w:r>
    </w:p>
    <w:p w:rsidR="009C5F27" w:rsidRDefault="009C5F27">
      <w:pPr>
        <w:rPr>
          <w:lang w:val="hr-HR"/>
        </w:rPr>
      </w:pPr>
    </w:p>
    <w:p w:rsidR="009C5F27" w:rsidRDefault="00B56235">
      <w:pPr>
        <w:pStyle w:val="Heading3"/>
      </w:pPr>
      <w:r>
        <w:t>Годишни и месечни търгове</w:t>
      </w:r>
    </w:p>
    <w:p w:rsidR="009C5F27" w:rsidRDefault="00B56235" w:rsidP="006049D4">
      <w:pPr>
        <w:jc w:val="both"/>
        <w:rPr>
          <w:rFonts w:cs="Arial"/>
          <w:color w:val="212121"/>
          <w:shd w:val="clear" w:color="auto" w:fill="FFFFFF"/>
        </w:rPr>
      </w:pPr>
      <w:r>
        <w:tab/>
        <w:t>С натискане върху бутон “Добави” (</w:t>
      </w:r>
      <w:proofErr w:type="spellStart"/>
      <w:r>
        <w:t>Add</w:t>
      </w:r>
      <w:proofErr w:type="spellEnd"/>
      <w:r>
        <w:t>) се отваря нов формуляр</w:t>
      </w:r>
      <w:r w:rsidRPr="006049D4">
        <w:t xml:space="preserve"> </w:t>
      </w:r>
      <w:r>
        <w:t>за подаване на оферти. Може да се въведе само една стойност за количество и цена. Може да се избере и опцията “всичко или нищо” (</w:t>
      </w:r>
      <w:r w:rsidRPr="006049D4">
        <w:t>“</w:t>
      </w:r>
      <w:r>
        <w:rPr>
          <w:lang w:val="en-US"/>
        </w:rPr>
        <w:t>All</w:t>
      </w:r>
      <w:r w:rsidRPr="006049D4">
        <w:t xml:space="preserve"> </w:t>
      </w:r>
      <w:r>
        <w:rPr>
          <w:lang w:val="en-US"/>
        </w:rPr>
        <w:t>or</w:t>
      </w:r>
      <w:r w:rsidRPr="006049D4">
        <w:t xml:space="preserve"> </w:t>
      </w:r>
      <w:r>
        <w:rPr>
          <w:lang w:val="en-US"/>
        </w:rPr>
        <w:t>nothing</w:t>
      </w:r>
      <w:r w:rsidRPr="006049D4">
        <w:t>”)</w:t>
      </w:r>
      <w:r>
        <w:t>. С натискане на бутон „Запази“ (</w:t>
      </w:r>
      <w:r w:rsidRPr="006049D4">
        <w:t>“</w:t>
      </w:r>
      <w:r>
        <w:rPr>
          <w:lang w:val="en-US"/>
        </w:rPr>
        <w:t>Save</w:t>
      </w:r>
      <w:r w:rsidRPr="006049D4">
        <w:t>”</w:t>
      </w:r>
      <w:r>
        <w:t xml:space="preserve">) офертата се запазва. </w:t>
      </w:r>
      <w:r>
        <w:rPr>
          <w:color w:val="212121"/>
          <w:shd w:val="clear" w:color="auto" w:fill="FFFFFF"/>
        </w:rPr>
        <w:t>Преди запазване системата проверява за следните ограничения:</w:t>
      </w:r>
    </w:p>
    <w:p w:rsidR="009C5F27" w:rsidRDefault="009C5F27">
      <w:pPr>
        <w:rPr>
          <w:rFonts w:cs="Arial"/>
          <w:color w:val="212121"/>
          <w:shd w:val="clear" w:color="auto" w:fill="FFFFFF"/>
        </w:rPr>
      </w:pPr>
    </w:p>
    <w:p w:rsidR="009C5F27" w:rsidRDefault="00B56235">
      <w:pPr>
        <w:pStyle w:val="ListParagraph"/>
        <w:numPr>
          <w:ilvl w:val="0"/>
          <w:numId w:val="26"/>
        </w:numPr>
        <w:rPr>
          <w:rFonts w:cs="Arial"/>
          <w:sz w:val="20"/>
          <w:szCs w:val="20"/>
        </w:rPr>
      </w:pPr>
      <w:r>
        <w:rPr>
          <w:sz w:val="20"/>
          <w:szCs w:val="20"/>
        </w:rPr>
        <w:t>Подаваната цена не може да е по-ниска от зададената минимална цена на офертите;</w:t>
      </w:r>
    </w:p>
    <w:p w:rsidR="009C5F27" w:rsidRDefault="00B56235">
      <w:pPr>
        <w:pStyle w:val="ListParagraph"/>
        <w:numPr>
          <w:ilvl w:val="0"/>
          <w:numId w:val="26"/>
        </w:numPr>
        <w:rPr>
          <w:rFonts w:cs="Arial"/>
          <w:sz w:val="20"/>
          <w:szCs w:val="20"/>
        </w:rPr>
      </w:pPr>
      <w:r>
        <w:rPr>
          <w:sz w:val="20"/>
          <w:szCs w:val="20"/>
        </w:rPr>
        <w:lastRenderedPageBreak/>
        <w:t>Исканото количество не може да бъде по-голямо от предлаганата преносна способност ATC;</w:t>
      </w:r>
    </w:p>
    <w:p w:rsidR="009C5F27" w:rsidRDefault="00B56235">
      <w:pPr>
        <w:pStyle w:val="ListParagraph"/>
        <w:numPr>
          <w:ilvl w:val="0"/>
          <w:numId w:val="26"/>
        </w:numPr>
        <w:rPr>
          <w:rFonts w:cs="Arial"/>
          <w:sz w:val="20"/>
          <w:szCs w:val="20"/>
        </w:rPr>
      </w:pPr>
      <w:r>
        <w:rPr>
          <w:sz w:val="20"/>
          <w:szCs w:val="20"/>
        </w:rPr>
        <w:t>Сумата на всички оферти не може да бъде по-голяма от предлаганата преносна способност</w:t>
      </w:r>
      <w:r w:rsidRPr="006049D4">
        <w:rPr>
          <w:sz w:val="20"/>
          <w:szCs w:val="20"/>
        </w:rPr>
        <w:t xml:space="preserve"> </w:t>
      </w:r>
      <w:r>
        <w:rPr>
          <w:sz w:val="20"/>
          <w:szCs w:val="20"/>
          <w:lang w:val="en-US"/>
        </w:rPr>
        <w:t>ATC</w:t>
      </w:r>
      <w:r w:rsidRPr="006049D4">
        <w:rPr>
          <w:sz w:val="20"/>
          <w:szCs w:val="20"/>
        </w:rPr>
        <w:t>;</w:t>
      </w:r>
    </w:p>
    <w:p w:rsidR="009C5F27" w:rsidRDefault="00B56235">
      <w:pPr>
        <w:pStyle w:val="ListParagraph"/>
        <w:numPr>
          <w:ilvl w:val="0"/>
          <w:numId w:val="26"/>
        </w:numPr>
        <w:rPr>
          <w:rFonts w:cs="Arial"/>
          <w:sz w:val="20"/>
          <w:szCs w:val="20"/>
        </w:rPr>
      </w:pPr>
      <w:r>
        <w:rPr>
          <w:sz w:val="20"/>
          <w:szCs w:val="20"/>
        </w:rPr>
        <w:t>Броят на офертите не може да надвишава лимита, определен в</w:t>
      </w:r>
      <w:r w:rsidRPr="006049D4">
        <w:rPr>
          <w:sz w:val="20"/>
          <w:szCs w:val="20"/>
        </w:rPr>
        <w:t xml:space="preserve"> </w:t>
      </w:r>
      <w:r>
        <w:rPr>
          <w:sz w:val="20"/>
          <w:szCs w:val="20"/>
        </w:rPr>
        <w:t>параметрите на търга;</w:t>
      </w:r>
    </w:p>
    <w:p w:rsidR="009C5F27" w:rsidRPr="00730BE5" w:rsidRDefault="00B56235">
      <w:pPr>
        <w:pStyle w:val="ListParagraph"/>
        <w:numPr>
          <w:ilvl w:val="0"/>
          <w:numId w:val="26"/>
        </w:numPr>
        <w:rPr>
          <w:rFonts w:cs="Arial"/>
          <w:sz w:val="20"/>
          <w:szCs w:val="20"/>
        </w:rPr>
      </w:pPr>
      <w:r w:rsidRPr="00BD4BB9">
        <w:rPr>
          <w:rFonts w:eastAsia="Times New Roman"/>
          <w:sz w:val="20"/>
          <w:szCs w:val="20"/>
          <w:lang w:eastAsia="hr-HR"/>
        </w:rPr>
        <w:t xml:space="preserve">Оферти “всичко или </w:t>
      </w:r>
      <w:r w:rsidRPr="00730BE5">
        <w:rPr>
          <w:rFonts w:eastAsia="Times New Roman"/>
          <w:sz w:val="20"/>
          <w:szCs w:val="20"/>
          <w:lang w:eastAsia="hr-HR"/>
        </w:rPr>
        <w:t>нищо” (</w:t>
      </w:r>
      <w:r w:rsidRPr="00730BE5">
        <w:rPr>
          <w:sz w:val="20"/>
          <w:szCs w:val="20"/>
        </w:rPr>
        <w:t>“</w:t>
      </w:r>
      <w:proofErr w:type="spellStart"/>
      <w:r w:rsidRPr="00730BE5">
        <w:rPr>
          <w:rFonts w:eastAsia="Times New Roman"/>
          <w:sz w:val="20"/>
          <w:szCs w:val="20"/>
          <w:lang w:eastAsia="hr-HR"/>
        </w:rPr>
        <w:t>All</w:t>
      </w:r>
      <w:proofErr w:type="spellEnd"/>
      <w:r w:rsidRPr="00730BE5">
        <w:rPr>
          <w:rFonts w:eastAsia="Times New Roman"/>
          <w:sz w:val="20"/>
          <w:szCs w:val="20"/>
          <w:lang w:eastAsia="hr-HR"/>
        </w:rPr>
        <w:t xml:space="preserve"> </w:t>
      </w:r>
      <w:proofErr w:type="spellStart"/>
      <w:r w:rsidRPr="00730BE5">
        <w:rPr>
          <w:rFonts w:eastAsia="Times New Roman"/>
          <w:sz w:val="20"/>
          <w:szCs w:val="20"/>
          <w:lang w:eastAsia="hr-HR"/>
        </w:rPr>
        <w:t>or</w:t>
      </w:r>
      <w:proofErr w:type="spellEnd"/>
      <w:r w:rsidRPr="00730BE5">
        <w:rPr>
          <w:rFonts w:eastAsia="Times New Roman"/>
          <w:sz w:val="20"/>
          <w:szCs w:val="20"/>
          <w:lang w:eastAsia="hr-HR"/>
        </w:rPr>
        <w:t xml:space="preserve"> </w:t>
      </w:r>
      <w:proofErr w:type="spellStart"/>
      <w:r w:rsidRPr="00730BE5">
        <w:rPr>
          <w:rFonts w:eastAsia="Times New Roman"/>
          <w:sz w:val="20"/>
          <w:szCs w:val="20"/>
          <w:lang w:eastAsia="hr-HR"/>
        </w:rPr>
        <w:t>nothing</w:t>
      </w:r>
      <w:proofErr w:type="spellEnd"/>
      <w:r w:rsidRPr="00730BE5">
        <w:rPr>
          <w:rFonts w:eastAsia="Times New Roman"/>
          <w:sz w:val="20"/>
          <w:szCs w:val="20"/>
          <w:lang w:val="en-US" w:eastAsia="hr-HR"/>
        </w:rPr>
        <w:t>”</w:t>
      </w:r>
      <w:r w:rsidRPr="00730BE5">
        <w:rPr>
          <w:rFonts w:eastAsia="Times New Roman"/>
          <w:sz w:val="20"/>
          <w:szCs w:val="20"/>
          <w:lang w:eastAsia="hr-HR"/>
        </w:rPr>
        <w:t>) трябва да бъдат позволени в съответния търг</w:t>
      </w:r>
      <w:r w:rsidRPr="00730BE5">
        <w:rPr>
          <w:sz w:val="20"/>
          <w:szCs w:val="20"/>
        </w:rPr>
        <w:t>;</w:t>
      </w:r>
    </w:p>
    <w:p w:rsidR="009C5F27" w:rsidRDefault="00B56235">
      <w:pPr>
        <w:pStyle w:val="ListParagraph"/>
        <w:numPr>
          <w:ilvl w:val="0"/>
          <w:numId w:val="26"/>
        </w:numPr>
        <w:rPr>
          <w:rFonts w:cs="Arial"/>
          <w:sz w:val="20"/>
          <w:szCs w:val="20"/>
        </w:rPr>
      </w:pPr>
      <w:r w:rsidRPr="00730BE5">
        <w:rPr>
          <w:color w:val="212121"/>
          <w:sz w:val="20"/>
          <w:szCs w:val="20"/>
        </w:rPr>
        <w:t>Не трябва да има неплатени фактури от предходните</w:t>
      </w:r>
      <w:r>
        <w:rPr>
          <w:color w:val="212121"/>
          <w:sz w:val="20"/>
          <w:szCs w:val="20"/>
        </w:rPr>
        <w:t xml:space="preserve"> месеци.</w:t>
      </w:r>
    </w:p>
    <w:p w:rsidR="009C5F27" w:rsidRDefault="009C5F27">
      <w:pPr>
        <w:pStyle w:val="ListParagraph"/>
        <w:rPr>
          <w:rFonts w:cs="Arial"/>
          <w:sz w:val="20"/>
          <w:szCs w:val="20"/>
        </w:rPr>
      </w:pPr>
    </w:p>
    <w:p w:rsidR="009C5F27" w:rsidRDefault="00B56235">
      <w:r>
        <w:rPr>
          <w:noProof/>
          <w:lang w:eastAsia="bg-BG"/>
        </w:rPr>
        <w:drawing>
          <wp:inline distT="0" distB="0" distL="0" distR="0" wp14:anchorId="2605D8D3" wp14:editId="495BE27B">
            <wp:extent cx="5796280" cy="196913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96280" cy="1969135"/>
                    </a:xfrm>
                    <a:prstGeom prst="rect">
                      <a:avLst/>
                    </a:prstGeom>
                  </pic:spPr>
                </pic:pic>
              </a:graphicData>
            </a:graphic>
          </wp:inline>
        </w:drawing>
      </w:r>
    </w:p>
    <w:p w:rsidR="009C5F27" w:rsidRDefault="00B56235">
      <w:pPr>
        <w:jc w:val="center"/>
        <w:rPr>
          <w:sz w:val="22"/>
          <w:szCs w:val="22"/>
        </w:rPr>
      </w:pPr>
      <w:r>
        <w:rPr>
          <w:sz w:val="22"/>
          <w:szCs w:val="22"/>
        </w:rPr>
        <w:t>Годишна и месечна оферта</w:t>
      </w:r>
    </w:p>
    <w:p w:rsidR="009C5F27" w:rsidRDefault="009C5F27">
      <w:pPr>
        <w:jc w:val="center"/>
        <w:rPr>
          <w:sz w:val="22"/>
          <w:szCs w:val="22"/>
          <w:lang w:val="hr-HR"/>
        </w:rPr>
      </w:pPr>
    </w:p>
    <w:p w:rsidR="009C5F27" w:rsidRDefault="00B56235">
      <w:r>
        <w:tab/>
        <w:t xml:space="preserve">Всички въведени оферти са представени в списъка. Докато е отворен търгът, офертите могат да бъдат променяни или изтрити. </w:t>
      </w:r>
    </w:p>
    <w:p w:rsidR="009C5F27" w:rsidRDefault="009C5F27">
      <w:pPr>
        <w:rPr>
          <w:sz w:val="22"/>
          <w:szCs w:val="22"/>
          <w:lang w:val="hr-HR"/>
        </w:rPr>
      </w:pPr>
    </w:p>
    <w:p w:rsidR="009C5F27" w:rsidRDefault="00B56235">
      <w:pPr>
        <w:rPr>
          <w:sz w:val="22"/>
          <w:szCs w:val="22"/>
        </w:rPr>
      </w:pPr>
      <w:r>
        <w:rPr>
          <w:noProof/>
          <w:lang w:eastAsia="bg-BG"/>
        </w:rPr>
        <w:drawing>
          <wp:inline distT="0" distB="0" distL="0" distR="0" wp14:anchorId="650C5BA1" wp14:editId="26240C40">
            <wp:extent cx="5796280" cy="13163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96280" cy="1316355"/>
                    </a:xfrm>
                    <a:prstGeom prst="rect">
                      <a:avLst/>
                    </a:prstGeom>
                  </pic:spPr>
                </pic:pic>
              </a:graphicData>
            </a:graphic>
          </wp:inline>
        </w:drawing>
      </w:r>
    </w:p>
    <w:p w:rsidR="009C5F27" w:rsidRDefault="00B56235">
      <w:pPr>
        <w:jc w:val="center"/>
        <w:rPr>
          <w:sz w:val="22"/>
          <w:szCs w:val="22"/>
        </w:rPr>
      </w:pPr>
      <w:r>
        <w:rPr>
          <w:sz w:val="22"/>
          <w:szCs w:val="22"/>
        </w:rPr>
        <w:t>Списък на офертите</w:t>
      </w:r>
    </w:p>
    <w:p w:rsidR="009C5F27" w:rsidRDefault="009C5F27">
      <w:pPr>
        <w:jc w:val="center"/>
        <w:rPr>
          <w:sz w:val="22"/>
          <w:szCs w:val="22"/>
          <w:lang w:val="hr-HR"/>
        </w:rPr>
      </w:pPr>
    </w:p>
    <w:p w:rsidR="009C5F27" w:rsidRDefault="00B56235" w:rsidP="006049D4">
      <w:pPr>
        <w:jc w:val="both"/>
      </w:pPr>
      <w:r>
        <w:tab/>
        <w:t xml:space="preserve">Натискайки върху реда на офертите се отваря нов формуляр с подробна информация за дадената оферта. С натискане на бутон “Запази” (Save) офертата се </w:t>
      </w:r>
      <w:proofErr w:type="spellStart"/>
      <w:r>
        <w:t>запазава</w:t>
      </w:r>
      <w:proofErr w:type="spellEnd"/>
      <w:r w:rsidRPr="006049D4">
        <w:t>/</w:t>
      </w:r>
      <w:r>
        <w:t>променя. С натискане на бутон “Изтрий” (</w:t>
      </w:r>
      <w:proofErr w:type="spellStart"/>
      <w:r>
        <w:t>Delete</w:t>
      </w:r>
      <w:proofErr w:type="spellEnd"/>
      <w:r>
        <w:t xml:space="preserve">) офертата се изтрива. Когато търгът е затворен за оферти, участниците вече не могат да подават своите оферти. Ако няма достатъчно преносна способност за покриване на всички оферти, се изчислява клирингова  (пределна) цена на търга.  </w:t>
      </w:r>
    </w:p>
    <w:p w:rsidR="009C5F27" w:rsidRDefault="009C5F27">
      <w:pPr>
        <w:rPr>
          <w:rFonts w:cs="Arial"/>
        </w:rPr>
      </w:pPr>
    </w:p>
    <w:p w:rsidR="009C5F27" w:rsidRDefault="00B56235">
      <w:r>
        <w:rPr>
          <w:noProof/>
          <w:lang w:eastAsia="bg-BG"/>
        </w:rPr>
        <w:drawing>
          <wp:inline distT="0" distB="0" distL="0" distR="0" wp14:anchorId="46A5396F" wp14:editId="4B9940E6">
            <wp:extent cx="5796280" cy="120269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96280" cy="1202690"/>
                    </a:xfrm>
                    <a:prstGeom prst="rect">
                      <a:avLst/>
                    </a:prstGeom>
                  </pic:spPr>
                </pic:pic>
              </a:graphicData>
            </a:graphic>
          </wp:inline>
        </w:drawing>
      </w:r>
    </w:p>
    <w:p w:rsidR="009C5F27" w:rsidRDefault="00B56235">
      <w:pPr>
        <w:jc w:val="center"/>
        <w:rPr>
          <w:sz w:val="22"/>
          <w:szCs w:val="22"/>
        </w:rPr>
      </w:pPr>
      <w:r>
        <w:rPr>
          <w:sz w:val="22"/>
          <w:szCs w:val="22"/>
        </w:rPr>
        <w:t>Разпределени оферти</w:t>
      </w:r>
    </w:p>
    <w:p w:rsidR="009C5F27" w:rsidRDefault="009C5F27">
      <w:pPr>
        <w:rPr>
          <w:lang w:val="hr-HR"/>
        </w:rPr>
      </w:pPr>
    </w:p>
    <w:p w:rsidR="009C5F27" w:rsidRDefault="009C5F27">
      <w:pPr>
        <w:rPr>
          <w:lang w:val="hr-HR"/>
        </w:rPr>
      </w:pPr>
    </w:p>
    <w:p w:rsidR="009C5F27" w:rsidRDefault="00B56235">
      <w:r>
        <w:lastRenderedPageBreak/>
        <w:tab/>
        <w:t xml:space="preserve">За годишния търг се създават 12 документа с резултати от търга (ARD) и 12 договора (по един за всеки месец). За месечния търг се създава само един ARD документ. Документът ARD се изпраща автоматично на пазарния участник по електронна поща. </w:t>
      </w:r>
    </w:p>
    <w:p w:rsidR="009C5F27" w:rsidRDefault="00B56235">
      <w:pPr>
        <w:pStyle w:val="Heading3"/>
      </w:pPr>
      <w:r>
        <w:t>Дневен търг</w:t>
      </w:r>
    </w:p>
    <w:p w:rsidR="009C5F27" w:rsidRDefault="00B56235">
      <w:pPr>
        <w:rPr>
          <w:rFonts w:cs="Arial"/>
          <w:color w:val="212121"/>
          <w:shd w:val="clear" w:color="auto" w:fill="FFFFFF"/>
        </w:rPr>
      </w:pPr>
      <w:r>
        <w:tab/>
        <w:t>С натискане върху бутон “Добави” (</w:t>
      </w:r>
      <w:proofErr w:type="spellStart"/>
      <w:r>
        <w:t>Add</w:t>
      </w:r>
      <w:proofErr w:type="spellEnd"/>
      <w:r>
        <w:t xml:space="preserve">) се отваря нов </w:t>
      </w:r>
      <w:proofErr w:type="spellStart"/>
      <w:r>
        <w:t>форруляр</w:t>
      </w:r>
      <w:proofErr w:type="spellEnd"/>
      <w:r>
        <w:t>. Тъй като ATC може да бъде различна за всеки час, в офертите могат да се въведат и различни стойности. С натискане на бутона “Избери всички” (</w:t>
      </w:r>
      <w:proofErr w:type="spellStart"/>
      <w:r>
        <w:t>Select</w:t>
      </w:r>
      <w:proofErr w:type="spellEnd"/>
      <w:r>
        <w:t xml:space="preserve"> </w:t>
      </w:r>
      <w:proofErr w:type="spellStart"/>
      <w:r>
        <w:t>all</w:t>
      </w:r>
      <w:proofErr w:type="spellEnd"/>
      <w:r>
        <w:t>) се избира целия времеви диапазон. С натискане на бутона “Попълни” (</w:t>
      </w:r>
      <w:proofErr w:type="spellStart"/>
      <w:r>
        <w:t>Fill</w:t>
      </w:r>
      <w:proofErr w:type="spellEnd"/>
      <w:r>
        <w:t xml:space="preserve">) всички времеви интервали се запълват с избрана стойност. </w:t>
      </w:r>
      <w:r w:rsidRPr="00D83365">
        <w:t>Може да се избере и опцията “всичко или нищо”</w:t>
      </w:r>
      <w:r w:rsidRPr="00974BC5">
        <w:t xml:space="preserve"> („</w:t>
      </w:r>
      <w:r w:rsidRPr="00283F31">
        <w:rPr>
          <w:lang w:val="en-US"/>
        </w:rPr>
        <w:t>All</w:t>
      </w:r>
      <w:r w:rsidRPr="006049D4">
        <w:t xml:space="preserve"> </w:t>
      </w:r>
      <w:r w:rsidRPr="00D83365">
        <w:rPr>
          <w:lang w:val="en-US"/>
        </w:rPr>
        <w:t>or</w:t>
      </w:r>
      <w:r w:rsidRPr="006049D4">
        <w:t xml:space="preserve"> </w:t>
      </w:r>
      <w:r w:rsidRPr="00D83365">
        <w:rPr>
          <w:lang w:val="en-US"/>
        </w:rPr>
        <w:t>nothing</w:t>
      </w:r>
      <w:r w:rsidRPr="006049D4">
        <w:t>”)</w:t>
      </w:r>
      <w:r w:rsidRPr="00D83365">
        <w:t>. С</w:t>
      </w:r>
      <w:r>
        <w:t xml:space="preserve"> натискане на бутон “Save” (Запази) офертата се запазва. </w:t>
      </w:r>
      <w:r>
        <w:rPr>
          <w:color w:val="212121"/>
          <w:shd w:val="clear" w:color="auto" w:fill="FFFFFF"/>
        </w:rPr>
        <w:t>Преди запазване системата проверява за следните ограничения:</w:t>
      </w:r>
    </w:p>
    <w:p w:rsidR="009C5F27" w:rsidRDefault="009C5F27">
      <w:pPr>
        <w:rPr>
          <w:rFonts w:cs="Arial"/>
          <w:color w:val="212121"/>
          <w:shd w:val="clear" w:color="auto" w:fill="FFFFFF"/>
        </w:rPr>
      </w:pPr>
    </w:p>
    <w:p w:rsidR="009C5F27" w:rsidRDefault="00B56235">
      <w:pPr>
        <w:pStyle w:val="ListParagraph"/>
        <w:numPr>
          <w:ilvl w:val="0"/>
          <w:numId w:val="26"/>
        </w:numPr>
        <w:rPr>
          <w:rFonts w:cs="Arial"/>
          <w:sz w:val="20"/>
          <w:szCs w:val="20"/>
        </w:rPr>
      </w:pPr>
      <w:r>
        <w:rPr>
          <w:sz w:val="20"/>
          <w:szCs w:val="20"/>
        </w:rPr>
        <w:t>Подаваната цена не може да е по-ниска от зададената минимална цена на офертите;</w:t>
      </w:r>
    </w:p>
    <w:p w:rsidR="009C5F27" w:rsidRDefault="00B56235">
      <w:pPr>
        <w:pStyle w:val="ListParagraph"/>
        <w:numPr>
          <w:ilvl w:val="0"/>
          <w:numId w:val="26"/>
        </w:numPr>
        <w:rPr>
          <w:rFonts w:cs="Arial"/>
          <w:sz w:val="20"/>
          <w:szCs w:val="20"/>
        </w:rPr>
      </w:pPr>
      <w:r>
        <w:rPr>
          <w:sz w:val="20"/>
          <w:szCs w:val="20"/>
        </w:rPr>
        <w:t>Исканото количество не може да бъде по-голямо от предлаганата преносна способност</w:t>
      </w:r>
      <w:r w:rsidRPr="006049D4">
        <w:rPr>
          <w:sz w:val="20"/>
          <w:szCs w:val="20"/>
        </w:rPr>
        <w:t xml:space="preserve"> </w:t>
      </w:r>
      <w:r>
        <w:rPr>
          <w:sz w:val="20"/>
          <w:szCs w:val="20"/>
          <w:lang w:val="en-US"/>
        </w:rPr>
        <w:t>ATC</w:t>
      </w:r>
      <w:r w:rsidRPr="006049D4">
        <w:rPr>
          <w:sz w:val="20"/>
          <w:szCs w:val="20"/>
        </w:rPr>
        <w:t>;</w:t>
      </w:r>
    </w:p>
    <w:p w:rsidR="009C5F27" w:rsidRDefault="00B56235">
      <w:pPr>
        <w:pStyle w:val="ListParagraph"/>
        <w:numPr>
          <w:ilvl w:val="0"/>
          <w:numId w:val="26"/>
        </w:numPr>
        <w:rPr>
          <w:rFonts w:cs="Arial"/>
          <w:sz w:val="20"/>
          <w:szCs w:val="20"/>
        </w:rPr>
      </w:pPr>
      <w:r>
        <w:rPr>
          <w:sz w:val="20"/>
          <w:szCs w:val="20"/>
        </w:rPr>
        <w:t>Сумата на всички оферти не може да бъде по-голяма от предлаганата</w:t>
      </w:r>
      <w:r w:rsidRPr="006049D4">
        <w:rPr>
          <w:sz w:val="20"/>
          <w:szCs w:val="20"/>
        </w:rPr>
        <w:t xml:space="preserve"> </w:t>
      </w:r>
      <w:r>
        <w:rPr>
          <w:sz w:val="20"/>
          <w:szCs w:val="20"/>
        </w:rPr>
        <w:t>преносна способност</w:t>
      </w:r>
      <w:r w:rsidRPr="006049D4">
        <w:rPr>
          <w:sz w:val="20"/>
          <w:szCs w:val="20"/>
        </w:rPr>
        <w:t xml:space="preserve"> </w:t>
      </w:r>
      <w:r>
        <w:rPr>
          <w:sz w:val="20"/>
          <w:szCs w:val="20"/>
          <w:lang w:val="en-US"/>
        </w:rPr>
        <w:t>ATC</w:t>
      </w:r>
      <w:r w:rsidRPr="006049D4">
        <w:rPr>
          <w:sz w:val="20"/>
          <w:szCs w:val="20"/>
        </w:rPr>
        <w:t>;</w:t>
      </w:r>
    </w:p>
    <w:p w:rsidR="009C5F27" w:rsidRPr="00283F31" w:rsidRDefault="00B56235">
      <w:pPr>
        <w:pStyle w:val="ListParagraph"/>
        <w:numPr>
          <w:ilvl w:val="0"/>
          <w:numId w:val="26"/>
        </w:numPr>
        <w:rPr>
          <w:rFonts w:cs="Arial"/>
          <w:sz w:val="20"/>
          <w:szCs w:val="20"/>
        </w:rPr>
      </w:pPr>
      <w:r w:rsidRPr="00D83365">
        <w:rPr>
          <w:sz w:val="20"/>
          <w:szCs w:val="20"/>
        </w:rPr>
        <w:t>Броят на офертите не може да надвишава лимита, определен в параметрите на търга</w:t>
      </w:r>
      <w:r w:rsidRPr="00974BC5">
        <w:rPr>
          <w:sz w:val="20"/>
          <w:szCs w:val="20"/>
        </w:rPr>
        <w:t>;</w:t>
      </w:r>
    </w:p>
    <w:p w:rsidR="009C5F27" w:rsidRPr="006049D4" w:rsidRDefault="00B56235">
      <w:pPr>
        <w:pStyle w:val="ListParagraph"/>
        <w:numPr>
          <w:ilvl w:val="0"/>
          <w:numId w:val="26"/>
        </w:numPr>
        <w:rPr>
          <w:rFonts w:cs="Arial"/>
          <w:sz w:val="20"/>
          <w:szCs w:val="20"/>
        </w:rPr>
      </w:pPr>
      <w:r w:rsidRPr="006049D4">
        <w:rPr>
          <w:sz w:val="20"/>
          <w:szCs w:val="20"/>
        </w:rPr>
        <w:t>Оферти “всичко или нищо” (</w:t>
      </w:r>
      <w:proofErr w:type="spellStart"/>
      <w:r w:rsidRPr="006049D4">
        <w:rPr>
          <w:sz w:val="20"/>
          <w:szCs w:val="20"/>
        </w:rPr>
        <w:t>All</w:t>
      </w:r>
      <w:proofErr w:type="spellEnd"/>
      <w:r w:rsidRPr="006049D4">
        <w:rPr>
          <w:sz w:val="20"/>
          <w:szCs w:val="20"/>
        </w:rPr>
        <w:t xml:space="preserve"> </w:t>
      </w:r>
      <w:proofErr w:type="spellStart"/>
      <w:r w:rsidRPr="006049D4">
        <w:rPr>
          <w:sz w:val="20"/>
          <w:szCs w:val="20"/>
        </w:rPr>
        <w:t>or</w:t>
      </w:r>
      <w:proofErr w:type="spellEnd"/>
      <w:r w:rsidRPr="006049D4">
        <w:rPr>
          <w:sz w:val="20"/>
          <w:szCs w:val="20"/>
        </w:rPr>
        <w:t xml:space="preserve"> </w:t>
      </w:r>
      <w:proofErr w:type="spellStart"/>
      <w:r w:rsidRPr="006049D4">
        <w:rPr>
          <w:sz w:val="20"/>
          <w:szCs w:val="20"/>
        </w:rPr>
        <w:t>nothing</w:t>
      </w:r>
      <w:proofErr w:type="spellEnd"/>
      <w:r w:rsidRPr="006049D4">
        <w:rPr>
          <w:sz w:val="20"/>
          <w:szCs w:val="20"/>
        </w:rPr>
        <w:t>) трябва да бъдат позволени в съответния търг</w:t>
      </w:r>
    </w:p>
    <w:p w:rsidR="009C5F27" w:rsidRPr="006049D4" w:rsidRDefault="00B56235">
      <w:pPr>
        <w:pStyle w:val="ListParagraph"/>
        <w:numPr>
          <w:ilvl w:val="0"/>
          <w:numId w:val="26"/>
        </w:numPr>
        <w:rPr>
          <w:rFonts w:cs="Arial"/>
          <w:color w:val="212121"/>
          <w:sz w:val="20"/>
          <w:szCs w:val="20"/>
        </w:rPr>
      </w:pPr>
      <w:r w:rsidRPr="006049D4">
        <w:rPr>
          <w:color w:val="212121"/>
          <w:sz w:val="20"/>
          <w:szCs w:val="20"/>
        </w:rPr>
        <w:t>Не трябва да има неплатени фактури от предходните месеци</w:t>
      </w:r>
    </w:p>
    <w:p w:rsidR="009C5F27" w:rsidRDefault="009C5F27">
      <w:pPr>
        <w:rPr>
          <w:rFonts w:cs="Arial"/>
        </w:rPr>
      </w:pPr>
    </w:p>
    <w:p w:rsidR="009C5F27" w:rsidRDefault="00B56235">
      <w:pPr>
        <w:rPr>
          <w:rFonts w:cs="Arial"/>
        </w:rPr>
      </w:pPr>
      <w:r>
        <w:rPr>
          <w:noProof/>
          <w:lang w:eastAsia="bg-BG"/>
        </w:rPr>
        <w:drawing>
          <wp:inline distT="0" distB="0" distL="0" distR="0" wp14:anchorId="111E778E" wp14:editId="58DD3204">
            <wp:extent cx="5796280" cy="2659380"/>
            <wp:effectExtent l="0" t="0" r="0" b="762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96280" cy="2659380"/>
                    </a:xfrm>
                    <a:prstGeom prst="rect">
                      <a:avLst/>
                    </a:prstGeom>
                  </pic:spPr>
                </pic:pic>
              </a:graphicData>
            </a:graphic>
          </wp:inline>
        </w:drawing>
      </w:r>
    </w:p>
    <w:p w:rsidR="009C5F27" w:rsidRDefault="00B56235">
      <w:pPr>
        <w:jc w:val="center"/>
        <w:rPr>
          <w:rFonts w:cs="Arial"/>
          <w:sz w:val="22"/>
          <w:szCs w:val="22"/>
        </w:rPr>
      </w:pPr>
      <w:r>
        <w:rPr>
          <w:sz w:val="22"/>
          <w:szCs w:val="22"/>
        </w:rPr>
        <w:t>Дневна оферта</w:t>
      </w:r>
    </w:p>
    <w:p w:rsidR="009C5F27" w:rsidRDefault="009C5F27">
      <w:pPr>
        <w:rPr>
          <w:rFonts w:cs="Arial"/>
        </w:rPr>
      </w:pPr>
    </w:p>
    <w:p w:rsidR="009C5F27" w:rsidRDefault="00B56235" w:rsidP="006049D4">
      <w:pPr>
        <w:jc w:val="both"/>
        <w:rPr>
          <w:rFonts w:cs="Arial"/>
        </w:rPr>
      </w:pPr>
      <w:r>
        <w:tab/>
        <w:t>Същест</w:t>
      </w:r>
      <w:r w:rsidR="00D83365">
        <w:t>в</w:t>
      </w:r>
      <w:r>
        <w:t xml:space="preserve">ува възможност за подаване на оферти чрез импортиране на стойности от </w:t>
      </w:r>
      <w:proofErr w:type="spellStart"/>
      <w:r>
        <w:t>excel</w:t>
      </w:r>
      <w:proofErr w:type="spellEnd"/>
      <w:r>
        <w:t xml:space="preserve"> файл, като се натиснете върху бутон “Качване на </w:t>
      </w:r>
      <w:proofErr w:type="spellStart"/>
      <w:r>
        <w:t>офертни</w:t>
      </w:r>
      <w:proofErr w:type="spellEnd"/>
      <w:r>
        <w:t xml:space="preserve"> времеви редове” (“</w:t>
      </w:r>
      <w:proofErr w:type="spellStart"/>
      <w:r>
        <w:t>Upload</w:t>
      </w:r>
      <w:proofErr w:type="spellEnd"/>
      <w:r>
        <w:t xml:space="preserve"> </w:t>
      </w:r>
      <w:proofErr w:type="spellStart"/>
      <w:r>
        <w:t>Bid</w:t>
      </w:r>
      <w:proofErr w:type="spellEnd"/>
      <w:r>
        <w:t xml:space="preserve"> </w:t>
      </w:r>
      <w:proofErr w:type="spellStart"/>
      <w:r>
        <w:t>Time</w:t>
      </w:r>
      <w:proofErr w:type="spellEnd"/>
      <w:r>
        <w:t xml:space="preserve"> </w:t>
      </w:r>
      <w:proofErr w:type="spellStart"/>
      <w:r>
        <w:t>Series</w:t>
      </w:r>
      <w:proofErr w:type="spellEnd"/>
      <w:r>
        <w:t>”). Excel файлът трябва да е във формата, показан на фигурата по-долу.</w:t>
      </w:r>
    </w:p>
    <w:p w:rsidR="009C5F27" w:rsidRDefault="009C5F27">
      <w:pPr>
        <w:rPr>
          <w:lang w:val="hr-HR"/>
        </w:rPr>
      </w:pPr>
    </w:p>
    <w:p w:rsidR="009C5F27" w:rsidRDefault="00B56235">
      <w:pPr>
        <w:jc w:val="center"/>
      </w:pPr>
      <w:r>
        <w:rPr>
          <w:noProof/>
          <w:lang w:eastAsia="bg-BG"/>
        </w:rPr>
        <w:lastRenderedPageBreak/>
        <w:drawing>
          <wp:inline distT="0" distB="0" distL="0" distR="0" wp14:anchorId="7549DE78" wp14:editId="2DE88B2B">
            <wp:extent cx="4362450" cy="3295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362450" cy="3295650"/>
                    </a:xfrm>
                    <a:prstGeom prst="rect">
                      <a:avLst/>
                    </a:prstGeom>
                  </pic:spPr>
                </pic:pic>
              </a:graphicData>
            </a:graphic>
          </wp:inline>
        </w:drawing>
      </w:r>
    </w:p>
    <w:p w:rsidR="009C5F27" w:rsidRDefault="00B56235">
      <w:pPr>
        <w:jc w:val="center"/>
        <w:rPr>
          <w:sz w:val="22"/>
          <w:szCs w:val="22"/>
        </w:rPr>
      </w:pPr>
      <w:r>
        <w:rPr>
          <w:sz w:val="22"/>
          <w:szCs w:val="22"/>
        </w:rPr>
        <w:t xml:space="preserve">Попълване на офертата с </w:t>
      </w:r>
      <w:proofErr w:type="spellStart"/>
      <w:r>
        <w:rPr>
          <w:sz w:val="22"/>
          <w:szCs w:val="22"/>
        </w:rPr>
        <w:t>xls</w:t>
      </w:r>
      <w:proofErr w:type="spellEnd"/>
      <w:r>
        <w:rPr>
          <w:sz w:val="22"/>
          <w:szCs w:val="22"/>
        </w:rPr>
        <w:t xml:space="preserve"> файл</w:t>
      </w:r>
    </w:p>
    <w:p w:rsidR="009C5F27" w:rsidRDefault="009C5F27">
      <w:pPr>
        <w:rPr>
          <w:rFonts w:cs="Arial"/>
        </w:rPr>
      </w:pPr>
    </w:p>
    <w:p w:rsidR="009C5F27" w:rsidRDefault="00B56235" w:rsidP="006049D4">
      <w:pPr>
        <w:jc w:val="both"/>
      </w:pPr>
      <w:r>
        <w:tab/>
        <w:t xml:space="preserve">Всички въведени (подадени) оферти се представят в списък. Колоните със стойностите са визуализирани с </w:t>
      </w:r>
      <w:proofErr w:type="spellStart"/>
      <w:r>
        <w:t>чила</w:t>
      </w:r>
      <w:proofErr w:type="spellEnd"/>
      <w:r>
        <w:t xml:space="preserve">, ако </w:t>
      </w:r>
      <w:proofErr w:type="spellStart"/>
      <w:r>
        <w:t>стойносте</w:t>
      </w:r>
      <w:proofErr w:type="spellEnd"/>
      <w:r>
        <w:t xml:space="preserve"> са еднакви за всеки интервал, в противен случай се показват с икона „</w:t>
      </w:r>
      <w:r w:rsidR="00283F31">
        <w:t>диаграма</w:t>
      </w:r>
      <w:r>
        <w:t xml:space="preserve">“. </w:t>
      </w:r>
    </w:p>
    <w:p w:rsidR="009C5F27" w:rsidRDefault="00B56235">
      <w:pPr>
        <w:jc w:val="center"/>
      </w:pPr>
      <w:r>
        <w:rPr>
          <w:noProof/>
          <w:lang w:eastAsia="bg-BG"/>
        </w:rPr>
        <w:drawing>
          <wp:inline distT="0" distB="0" distL="0" distR="0" wp14:anchorId="5FEDE92B" wp14:editId="4516FC4C">
            <wp:extent cx="5796280" cy="135064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96280" cy="1350645"/>
                    </a:xfrm>
                    <a:prstGeom prst="rect">
                      <a:avLst/>
                    </a:prstGeom>
                  </pic:spPr>
                </pic:pic>
              </a:graphicData>
            </a:graphic>
          </wp:inline>
        </w:drawing>
      </w:r>
    </w:p>
    <w:p w:rsidR="009C5F27" w:rsidRDefault="00B56235">
      <w:pPr>
        <w:jc w:val="center"/>
        <w:rPr>
          <w:sz w:val="22"/>
          <w:szCs w:val="22"/>
        </w:rPr>
      </w:pPr>
      <w:r>
        <w:rPr>
          <w:sz w:val="22"/>
          <w:szCs w:val="22"/>
        </w:rPr>
        <w:t>Дневни оферти</w:t>
      </w:r>
    </w:p>
    <w:p w:rsidR="009C5F27" w:rsidRDefault="009C5F27">
      <w:pPr>
        <w:rPr>
          <w:lang w:val="hr-HR"/>
        </w:rPr>
      </w:pPr>
    </w:p>
    <w:p w:rsidR="009C5F27" w:rsidRDefault="00B56235" w:rsidP="006049D4">
      <w:pPr>
        <w:jc w:val="both"/>
      </w:pPr>
      <w:r>
        <w:tab/>
        <w:t>Докато е отворен търгът, офертите могат да бъдат променяни или изтрити. С натискане на бутон “Запази” (Save) офертата се запазва/променя. С натискане на бутон “Изтрий” (</w:t>
      </w:r>
      <w:proofErr w:type="spellStart"/>
      <w:r>
        <w:t>Delete</w:t>
      </w:r>
      <w:proofErr w:type="spellEnd"/>
      <w:r>
        <w:t xml:space="preserve">) офертата се изтрива. Когато търгът е затворен за оферти, участниците вече не могат да подават оферти. Ако няма достатъчно преносна способност за покриване на всички оферти, се изчислява клирингова (пределна) цена на търга. Създава се ARD документ, който се изпраща автоматично на пазарния участник по електронна поща. </w:t>
      </w:r>
    </w:p>
    <w:p w:rsidR="009C5F27" w:rsidRDefault="009C5F27">
      <w:pPr>
        <w:rPr>
          <w:lang w:val="hr-HR"/>
        </w:rPr>
      </w:pPr>
    </w:p>
    <w:p w:rsidR="009C5F27" w:rsidRDefault="00B56235">
      <w:pPr>
        <w:pStyle w:val="Heading3"/>
      </w:pPr>
      <w:r>
        <w:t>Търг “в рамките на деня”</w:t>
      </w:r>
    </w:p>
    <w:p w:rsidR="009C5F27" w:rsidRDefault="00B56235" w:rsidP="006049D4">
      <w:pPr>
        <w:jc w:val="both"/>
        <w:rPr>
          <w:rFonts w:cs="Arial"/>
          <w:color w:val="212121"/>
          <w:shd w:val="clear" w:color="auto" w:fill="FFFFFF"/>
        </w:rPr>
      </w:pPr>
      <w:r>
        <w:tab/>
        <w:t>Търгът “в рамките на деня” (</w:t>
      </w:r>
      <w:r w:rsidRPr="006049D4">
        <w:t>“</w:t>
      </w:r>
      <w:r>
        <w:rPr>
          <w:lang w:val="en-US"/>
        </w:rPr>
        <w:t>Intraday</w:t>
      </w:r>
      <w:r w:rsidRPr="006049D4">
        <w:t xml:space="preserve"> </w:t>
      </w:r>
      <w:r>
        <w:rPr>
          <w:lang w:val="en-US"/>
        </w:rPr>
        <w:t>auction</w:t>
      </w:r>
      <w:r w:rsidRPr="006049D4">
        <w:t>”)</w:t>
      </w:r>
      <w:r>
        <w:t xml:space="preserve">  е винаги отворен 24 часа. Например, ако денят за доставка е 29.11.2018, търгът се отваря от 28.11.2018. 23:00 - 29.11.2018. 23:00. С натискане върху бутон “Добави” (</w:t>
      </w:r>
      <w:proofErr w:type="spellStart"/>
      <w:r>
        <w:t>Add</w:t>
      </w:r>
      <w:proofErr w:type="spellEnd"/>
      <w:r>
        <w:t>) се отваря нов формуляр. Тъй като ATC може да бъде различна за всеки час, в офертите могат да се въведат и различни стойности. Тъй като търгът се провежда за текущия ден, количество и цена могат да бъдат въведени само за предстоящите часове. С натискане на бутона “Избери всички” (</w:t>
      </w:r>
      <w:proofErr w:type="spellStart"/>
      <w:r>
        <w:t>Select</w:t>
      </w:r>
      <w:proofErr w:type="spellEnd"/>
      <w:r>
        <w:t xml:space="preserve"> </w:t>
      </w:r>
      <w:proofErr w:type="spellStart"/>
      <w:r>
        <w:t>all</w:t>
      </w:r>
      <w:proofErr w:type="spellEnd"/>
      <w:r>
        <w:t>) се избира целия времеви диапазон. С натискане на бутона “Попълни” (</w:t>
      </w:r>
      <w:proofErr w:type="spellStart"/>
      <w:r>
        <w:t>Fill</w:t>
      </w:r>
      <w:proofErr w:type="spellEnd"/>
      <w:r>
        <w:t xml:space="preserve">) всички времеви интервали се запълват с избрана стойност. </w:t>
      </w:r>
      <w:r w:rsidRPr="00974BC5">
        <w:t>Може да се избере и опцията “всичко</w:t>
      </w:r>
      <w:r w:rsidRPr="00283F31">
        <w:t xml:space="preserve"> или нищо”.</w:t>
      </w:r>
      <w:r>
        <w:t xml:space="preserve"> С натискане на бутон “Запази” (Save) се </w:t>
      </w:r>
      <w:r>
        <w:lastRenderedPageBreak/>
        <w:t xml:space="preserve">запазват редактираните редове и за всеки час се запазва по една оферта, тъй като резултатите се публикуват час по час. </w:t>
      </w:r>
      <w:r>
        <w:rPr>
          <w:color w:val="212121"/>
          <w:shd w:val="clear" w:color="auto" w:fill="FFFFFF"/>
        </w:rPr>
        <w:t>Преди запазване системата проверява за следните ограничения:</w:t>
      </w:r>
    </w:p>
    <w:p w:rsidR="009C5F27" w:rsidRDefault="009C5F27">
      <w:pPr>
        <w:rPr>
          <w:rFonts w:cs="Arial"/>
          <w:color w:val="212121"/>
          <w:shd w:val="clear" w:color="auto" w:fill="FFFFFF"/>
        </w:rPr>
      </w:pPr>
    </w:p>
    <w:p w:rsidR="009C5F27" w:rsidRDefault="00B56235">
      <w:pPr>
        <w:pStyle w:val="ListParagraph"/>
        <w:numPr>
          <w:ilvl w:val="0"/>
          <w:numId w:val="26"/>
        </w:numPr>
        <w:rPr>
          <w:rFonts w:cs="Arial"/>
          <w:sz w:val="20"/>
          <w:szCs w:val="20"/>
        </w:rPr>
      </w:pPr>
      <w:r>
        <w:rPr>
          <w:sz w:val="20"/>
          <w:szCs w:val="20"/>
        </w:rPr>
        <w:t>Подаваната цена не може да е по-ниска от зададената минимална цена на офертите;</w:t>
      </w:r>
    </w:p>
    <w:p w:rsidR="009C5F27" w:rsidRDefault="00B56235">
      <w:pPr>
        <w:pStyle w:val="ListParagraph"/>
        <w:numPr>
          <w:ilvl w:val="0"/>
          <w:numId w:val="26"/>
        </w:numPr>
        <w:rPr>
          <w:rFonts w:cs="Arial"/>
          <w:sz w:val="20"/>
          <w:szCs w:val="20"/>
        </w:rPr>
      </w:pPr>
      <w:r>
        <w:rPr>
          <w:sz w:val="20"/>
          <w:szCs w:val="20"/>
        </w:rPr>
        <w:t xml:space="preserve">Исканото количество не може да бъде по-голямо от предлаганата преносна способност </w:t>
      </w:r>
      <w:r>
        <w:rPr>
          <w:sz w:val="20"/>
          <w:szCs w:val="20"/>
          <w:lang w:val="en-US"/>
        </w:rPr>
        <w:t>ATC</w:t>
      </w:r>
      <w:r>
        <w:rPr>
          <w:sz w:val="20"/>
          <w:szCs w:val="20"/>
        </w:rPr>
        <w:t>;</w:t>
      </w:r>
    </w:p>
    <w:p w:rsidR="009C5F27" w:rsidRDefault="00B56235">
      <w:pPr>
        <w:pStyle w:val="ListParagraph"/>
        <w:numPr>
          <w:ilvl w:val="0"/>
          <w:numId w:val="26"/>
        </w:numPr>
        <w:rPr>
          <w:rFonts w:cs="Arial"/>
          <w:sz w:val="20"/>
          <w:szCs w:val="20"/>
        </w:rPr>
      </w:pPr>
      <w:r>
        <w:rPr>
          <w:sz w:val="20"/>
          <w:szCs w:val="20"/>
        </w:rPr>
        <w:t xml:space="preserve">Сумата на всички оферти не може да бъде по-голяма от предлаганата преносна способност </w:t>
      </w:r>
      <w:r>
        <w:rPr>
          <w:sz w:val="20"/>
          <w:szCs w:val="20"/>
          <w:lang w:val="en-US"/>
        </w:rPr>
        <w:t>ATC</w:t>
      </w:r>
      <w:r>
        <w:rPr>
          <w:sz w:val="20"/>
          <w:szCs w:val="20"/>
        </w:rPr>
        <w:t>;</w:t>
      </w:r>
    </w:p>
    <w:p w:rsidR="009C5F27" w:rsidRDefault="00B56235">
      <w:pPr>
        <w:pStyle w:val="ListParagraph"/>
        <w:numPr>
          <w:ilvl w:val="0"/>
          <w:numId w:val="26"/>
        </w:numPr>
        <w:rPr>
          <w:rFonts w:cs="Arial"/>
          <w:sz w:val="20"/>
          <w:szCs w:val="20"/>
        </w:rPr>
      </w:pPr>
      <w:r>
        <w:rPr>
          <w:sz w:val="20"/>
          <w:szCs w:val="20"/>
        </w:rPr>
        <w:t>Броят на офертите не може да надвишава лимита, определен в параметрите на търга;</w:t>
      </w:r>
    </w:p>
    <w:p w:rsidR="009C5F27" w:rsidRPr="006049D4" w:rsidRDefault="00B56235">
      <w:pPr>
        <w:pStyle w:val="ListParagraph"/>
        <w:numPr>
          <w:ilvl w:val="0"/>
          <w:numId w:val="26"/>
        </w:numPr>
        <w:rPr>
          <w:rFonts w:cs="Arial"/>
          <w:sz w:val="20"/>
          <w:szCs w:val="20"/>
        </w:rPr>
      </w:pPr>
      <w:r w:rsidRPr="006049D4">
        <w:rPr>
          <w:sz w:val="20"/>
          <w:szCs w:val="20"/>
        </w:rPr>
        <w:t>Оферти “всичко или нищо” (</w:t>
      </w:r>
      <w:proofErr w:type="spellStart"/>
      <w:r w:rsidRPr="006049D4">
        <w:rPr>
          <w:sz w:val="20"/>
          <w:szCs w:val="20"/>
        </w:rPr>
        <w:t>All</w:t>
      </w:r>
      <w:proofErr w:type="spellEnd"/>
      <w:r w:rsidRPr="006049D4">
        <w:rPr>
          <w:sz w:val="20"/>
          <w:szCs w:val="20"/>
        </w:rPr>
        <w:t xml:space="preserve"> </w:t>
      </w:r>
      <w:proofErr w:type="spellStart"/>
      <w:r w:rsidRPr="006049D4">
        <w:rPr>
          <w:sz w:val="20"/>
          <w:szCs w:val="20"/>
        </w:rPr>
        <w:t>or</w:t>
      </w:r>
      <w:proofErr w:type="spellEnd"/>
      <w:r w:rsidRPr="006049D4">
        <w:rPr>
          <w:sz w:val="20"/>
          <w:szCs w:val="20"/>
        </w:rPr>
        <w:t xml:space="preserve"> </w:t>
      </w:r>
      <w:proofErr w:type="spellStart"/>
      <w:r w:rsidRPr="006049D4">
        <w:rPr>
          <w:sz w:val="20"/>
          <w:szCs w:val="20"/>
        </w:rPr>
        <w:t>nothing</w:t>
      </w:r>
      <w:proofErr w:type="spellEnd"/>
      <w:r w:rsidRPr="006049D4">
        <w:rPr>
          <w:sz w:val="20"/>
          <w:szCs w:val="20"/>
        </w:rPr>
        <w:t>) трябва да бъдат позволени в съответния търг</w:t>
      </w:r>
    </w:p>
    <w:p w:rsidR="009C5F27" w:rsidRDefault="00B56235">
      <w:pPr>
        <w:pStyle w:val="ListParagraph"/>
        <w:numPr>
          <w:ilvl w:val="0"/>
          <w:numId w:val="26"/>
        </w:numPr>
        <w:rPr>
          <w:rFonts w:cs="Arial"/>
          <w:color w:val="212121"/>
          <w:sz w:val="20"/>
          <w:szCs w:val="20"/>
        </w:rPr>
      </w:pPr>
      <w:r>
        <w:rPr>
          <w:color w:val="212121"/>
          <w:sz w:val="20"/>
          <w:szCs w:val="20"/>
        </w:rPr>
        <w:t>Не трябва да има неплатени фактури от предходните месеци</w:t>
      </w:r>
    </w:p>
    <w:p w:rsidR="009C5F27" w:rsidRPr="006049D4" w:rsidRDefault="009C5F27"/>
    <w:p w:rsidR="009C5F27" w:rsidRDefault="00B56235">
      <w:r>
        <w:rPr>
          <w:noProof/>
          <w:lang w:eastAsia="bg-BG"/>
        </w:rPr>
        <w:drawing>
          <wp:inline distT="0" distB="0" distL="0" distR="0" wp14:anchorId="10F127A2" wp14:editId="0E8A19CB">
            <wp:extent cx="5796280" cy="2735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96280" cy="2735580"/>
                    </a:xfrm>
                    <a:prstGeom prst="rect">
                      <a:avLst/>
                    </a:prstGeom>
                  </pic:spPr>
                </pic:pic>
              </a:graphicData>
            </a:graphic>
          </wp:inline>
        </w:drawing>
      </w:r>
    </w:p>
    <w:p w:rsidR="009C5F27" w:rsidRDefault="00B56235">
      <w:pPr>
        <w:jc w:val="center"/>
        <w:rPr>
          <w:sz w:val="22"/>
          <w:szCs w:val="22"/>
        </w:rPr>
      </w:pPr>
      <w:r>
        <w:rPr>
          <w:sz w:val="22"/>
          <w:szCs w:val="22"/>
        </w:rPr>
        <w:t>В рамките на деня</w:t>
      </w:r>
    </w:p>
    <w:p w:rsidR="009C5F27" w:rsidRDefault="009C5F27">
      <w:pPr>
        <w:jc w:val="center"/>
        <w:rPr>
          <w:sz w:val="22"/>
          <w:szCs w:val="22"/>
          <w:lang w:val="hr-HR"/>
        </w:rPr>
      </w:pPr>
    </w:p>
    <w:p w:rsidR="009C5F27" w:rsidRDefault="00B56235">
      <w:pPr>
        <w:rPr>
          <w:rFonts w:cs="Arial"/>
        </w:rPr>
      </w:pPr>
      <w:r>
        <w:tab/>
      </w:r>
      <w:proofErr w:type="spellStart"/>
      <w:r>
        <w:t>Същеструва</w:t>
      </w:r>
      <w:proofErr w:type="spellEnd"/>
      <w:r>
        <w:t xml:space="preserve"> възможност за подаване на оферти чрез импортиране на стойности от </w:t>
      </w:r>
      <w:proofErr w:type="spellStart"/>
      <w:r>
        <w:t>excel</w:t>
      </w:r>
      <w:proofErr w:type="spellEnd"/>
      <w:r>
        <w:t xml:space="preserve"> файл, като натиснете върху бутон “Качване на </w:t>
      </w:r>
      <w:proofErr w:type="spellStart"/>
      <w:r>
        <w:t>офертни</w:t>
      </w:r>
      <w:proofErr w:type="spellEnd"/>
      <w:r>
        <w:t xml:space="preserve"> времеви редове” “</w:t>
      </w:r>
      <w:proofErr w:type="spellStart"/>
      <w:r>
        <w:t>Upload</w:t>
      </w:r>
      <w:proofErr w:type="spellEnd"/>
      <w:r>
        <w:t xml:space="preserve"> </w:t>
      </w:r>
      <w:proofErr w:type="spellStart"/>
      <w:r>
        <w:t>Bid</w:t>
      </w:r>
      <w:proofErr w:type="spellEnd"/>
      <w:r>
        <w:t xml:space="preserve"> </w:t>
      </w:r>
      <w:proofErr w:type="spellStart"/>
      <w:r>
        <w:t>Time</w:t>
      </w:r>
      <w:proofErr w:type="spellEnd"/>
      <w:r>
        <w:t xml:space="preserve"> </w:t>
      </w:r>
      <w:proofErr w:type="spellStart"/>
      <w:r>
        <w:t>Series</w:t>
      </w:r>
      <w:proofErr w:type="spellEnd"/>
      <w:r>
        <w:t>”. Excel файлът трябва да е във формата, показан на фигурата по-долу. Само предстоящите часове ще бъдат попълнени.</w:t>
      </w:r>
    </w:p>
    <w:p w:rsidR="009C5F27" w:rsidRDefault="009C5F27">
      <w:pPr>
        <w:rPr>
          <w:lang w:val="hr-HR"/>
        </w:rPr>
      </w:pPr>
    </w:p>
    <w:p w:rsidR="009C5F27" w:rsidRDefault="00B56235">
      <w:pPr>
        <w:jc w:val="center"/>
      </w:pPr>
      <w:r>
        <w:rPr>
          <w:noProof/>
          <w:lang w:eastAsia="bg-BG"/>
        </w:rPr>
        <w:lastRenderedPageBreak/>
        <w:drawing>
          <wp:inline distT="0" distB="0" distL="0" distR="0" wp14:anchorId="19041B8D" wp14:editId="4DA1A100">
            <wp:extent cx="4362450" cy="3295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362450" cy="3295650"/>
                    </a:xfrm>
                    <a:prstGeom prst="rect">
                      <a:avLst/>
                    </a:prstGeom>
                  </pic:spPr>
                </pic:pic>
              </a:graphicData>
            </a:graphic>
          </wp:inline>
        </w:drawing>
      </w:r>
    </w:p>
    <w:p w:rsidR="009C5F27" w:rsidRDefault="00B56235">
      <w:pPr>
        <w:jc w:val="center"/>
        <w:rPr>
          <w:sz w:val="22"/>
          <w:szCs w:val="22"/>
        </w:rPr>
      </w:pPr>
      <w:r>
        <w:rPr>
          <w:sz w:val="22"/>
          <w:szCs w:val="22"/>
        </w:rPr>
        <w:t xml:space="preserve">Попълване на офертата с </w:t>
      </w:r>
      <w:proofErr w:type="spellStart"/>
      <w:r>
        <w:rPr>
          <w:sz w:val="22"/>
          <w:szCs w:val="22"/>
        </w:rPr>
        <w:t>xls</w:t>
      </w:r>
      <w:proofErr w:type="spellEnd"/>
      <w:r>
        <w:rPr>
          <w:sz w:val="22"/>
          <w:szCs w:val="22"/>
        </w:rPr>
        <w:t xml:space="preserve"> файл</w:t>
      </w:r>
    </w:p>
    <w:p w:rsidR="009C5F27" w:rsidRDefault="009C5F27">
      <w:pPr>
        <w:jc w:val="center"/>
        <w:rPr>
          <w:lang w:val="hr-HR"/>
        </w:rPr>
      </w:pPr>
    </w:p>
    <w:p w:rsidR="009C5F27" w:rsidRDefault="00B56235">
      <w:r>
        <w:tab/>
        <w:t>Докато е отворен търгът, офертите могат да бъдат променяни или изтрити.  С натискане на бутон “Запази” (Save) офертата се променя/запазва. С натискане на бутон “Изтрий” (</w:t>
      </w:r>
      <w:proofErr w:type="spellStart"/>
      <w:r>
        <w:t>Delete</w:t>
      </w:r>
      <w:proofErr w:type="spellEnd"/>
      <w:r>
        <w:t xml:space="preserve">) офертата се изтрива. Преди началото на предстоящия час се публикуват резултати за този час. Ако няма достатъчно преносна способност за покриване на всички оферти, се изчислява клирингова (пределна) цена. Създава се ARD документ за дадения час, който се изпраща автоматично на пазарния участник по електронна поща. Фигурата по-долу показва офертите за търг “в рамките на деня”. За първите четири часа офертите се разпределени, а останалите чакат за разпределяне като тези оферти все още могат да бъдат променяни или изтривани. </w:t>
      </w:r>
    </w:p>
    <w:p w:rsidR="009C5F27" w:rsidRDefault="009C5F27">
      <w:pPr>
        <w:rPr>
          <w:sz w:val="22"/>
          <w:szCs w:val="22"/>
          <w:lang w:val="hr-HR"/>
        </w:rPr>
      </w:pPr>
    </w:p>
    <w:p w:rsidR="009C5F27" w:rsidRDefault="00B56235">
      <w:pPr>
        <w:jc w:val="center"/>
        <w:rPr>
          <w:sz w:val="22"/>
          <w:szCs w:val="22"/>
        </w:rPr>
      </w:pPr>
      <w:r>
        <w:rPr>
          <w:noProof/>
          <w:lang w:eastAsia="bg-BG"/>
        </w:rPr>
        <w:drawing>
          <wp:inline distT="0" distB="0" distL="0" distR="0" wp14:anchorId="05EB5CBF" wp14:editId="3151ACBB">
            <wp:extent cx="5796280" cy="222631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96280" cy="2226310"/>
                    </a:xfrm>
                    <a:prstGeom prst="rect">
                      <a:avLst/>
                    </a:prstGeom>
                  </pic:spPr>
                </pic:pic>
              </a:graphicData>
            </a:graphic>
          </wp:inline>
        </w:drawing>
      </w:r>
    </w:p>
    <w:p w:rsidR="009C5F27" w:rsidRDefault="00B56235">
      <w:pPr>
        <w:jc w:val="center"/>
        <w:rPr>
          <w:sz w:val="22"/>
          <w:szCs w:val="22"/>
        </w:rPr>
      </w:pPr>
      <w:r>
        <w:rPr>
          <w:sz w:val="22"/>
          <w:szCs w:val="22"/>
        </w:rPr>
        <w:t>Оферти “в рамките на деня”</w:t>
      </w:r>
    </w:p>
    <w:p w:rsidR="009C5F27" w:rsidRDefault="00B56235">
      <w:pPr>
        <w:pStyle w:val="Heading2"/>
      </w:pPr>
      <w:bookmarkStart w:id="39" w:name="_Toc509301395"/>
      <w:bookmarkStart w:id="40" w:name="_Toc10122905"/>
      <w:r>
        <w:t>Тръжни резултати</w:t>
      </w:r>
      <w:bookmarkEnd w:id="39"/>
      <w:bookmarkEnd w:id="40"/>
    </w:p>
    <w:p w:rsidR="009C5F27" w:rsidRDefault="00B56235">
      <w:r>
        <w:tab/>
        <w:t xml:space="preserve">Всички потребители имат достъп до резултатите от търга на публичната страница на приложението. По подразбиране се показват търгове, които не са по-стари от 10 дни, но потребителят може да промени броя на дните в съответното поле. Търговете могат да бъдат филтрирани по вид и посока и по всяка колона на таблицата. </w:t>
      </w:r>
    </w:p>
    <w:p w:rsidR="009C5F27" w:rsidRDefault="009C5F27">
      <w:pPr>
        <w:rPr>
          <w:lang w:val="hr-HR"/>
        </w:rPr>
      </w:pPr>
    </w:p>
    <w:p w:rsidR="009C5F27" w:rsidRDefault="00B56235">
      <w:r>
        <w:rPr>
          <w:noProof/>
          <w:lang w:eastAsia="bg-BG"/>
        </w:rPr>
        <w:lastRenderedPageBreak/>
        <w:drawing>
          <wp:inline distT="0" distB="0" distL="0" distR="0" wp14:anchorId="6FFDB60A" wp14:editId="733D858E">
            <wp:extent cx="5796280" cy="154559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96280" cy="1545590"/>
                    </a:xfrm>
                    <a:prstGeom prst="rect">
                      <a:avLst/>
                    </a:prstGeom>
                  </pic:spPr>
                </pic:pic>
              </a:graphicData>
            </a:graphic>
          </wp:inline>
        </w:drawing>
      </w:r>
    </w:p>
    <w:p w:rsidR="009C5F27" w:rsidRDefault="00B56235">
      <w:pPr>
        <w:jc w:val="center"/>
        <w:rPr>
          <w:sz w:val="22"/>
          <w:szCs w:val="22"/>
        </w:rPr>
      </w:pPr>
      <w:r>
        <w:rPr>
          <w:sz w:val="22"/>
          <w:szCs w:val="22"/>
        </w:rPr>
        <w:t>Тръжни резултати</w:t>
      </w:r>
    </w:p>
    <w:p w:rsidR="009C5F27" w:rsidRDefault="009C5F27"/>
    <w:p w:rsidR="009C5F27" w:rsidRDefault="00B56235">
      <w:r>
        <w:tab/>
        <w:t>С натискане върху реда на търга се показва нова таблица, показваща колко преносна способност е разпределена във всеки интервал от време (месец, ден, час). Също така, с натискане върху иконата “плюс” (</w:t>
      </w:r>
      <w:proofErr w:type="spellStart"/>
      <w:r>
        <w:t>plus</w:t>
      </w:r>
      <w:proofErr w:type="spellEnd"/>
      <w:r w:rsidRPr="00974BC5">
        <w:t>) в лявата част</w:t>
      </w:r>
      <w:r>
        <w:t xml:space="preserve"> на таблицата се показва колко преносна способност се разпределя на всеки пазарен участник в избрания интервал от време.</w:t>
      </w:r>
    </w:p>
    <w:p w:rsidR="009C5F27" w:rsidRDefault="009C5F27"/>
    <w:p w:rsidR="009C5F27" w:rsidRDefault="00B56235">
      <w:r>
        <w:rPr>
          <w:noProof/>
          <w:lang w:eastAsia="bg-BG"/>
        </w:rPr>
        <w:drawing>
          <wp:inline distT="0" distB="0" distL="0" distR="0" wp14:anchorId="3312FAE5" wp14:editId="7A2FE739">
            <wp:extent cx="5796280" cy="274510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96280" cy="2745105"/>
                    </a:xfrm>
                    <a:prstGeom prst="rect">
                      <a:avLst/>
                    </a:prstGeom>
                  </pic:spPr>
                </pic:pic>
              </a:graphicData>
            </a:graphic>
          </wp:inline>
        </w:drawing>
      </w:r>
    </w:p>
    <w:p w:rsidR="009C5F27" w:rsidRDefault="00B56235">
      <w:pPr>
        <w:pStyle w:val="Caption"/>
        <w:rPr>
          <w:b w:val="0"/>
        </w:rPr>
      </w:pPr>
      <w:r>
        <w:rPr>
          <w:b w:val="0"/>
        </w:rPr>
        <w:t>Информация за резултатите от търга</w:t>
      </w:r>
    </w:p>
    <w:p w:rsidR="009C5F27" w:rsidRDefault="00B56235">
      <w:pPr>
        <w:pStyle w:val="Heading2"/>
      </w:pPr>
      <w:bookmarkStart w:id="41" w:name="_Toc509301396"/>
      <w:bookmarkStart w:id="42" w:name="_Toc10122906"/>
      <w:r>
        <w:t>ECAN документи</w:t>
      </w:r>
      <w:bookmarkEnd w:id="41"/>
      <w:bookmarkEnd w:id="42"/>
    </w:p>
    <w:p w:rsidR="009C5F27" w:rsidRDefault="00B56235">
      <w:r>
        <w:tab/>
        <w:t xml:space="preserve">Когато търгът е затворен и резултатите се публикуват, автоматично се създават ARD документи и се активира раздел ARD. Документът ARD се изпраща на съответния търговец по </w:t>
      </w:r>
      <w:proofErr w:type="spellStart"/>
      <w:r>
        <w:t>e-mail</w:t>
      </w:r>
      <w:proofErr w:type="spellEnd"/>
      <w:r>
        <w:t>, посочен в модул основни данни. Ако видът на търга е годишен се създава отделен ARD документ за всеки месец. Файловете могат да бъдат и изтеглени с натискане върху иконата “Изтегляне” (</w:t>
      </w:r>
      <w:proofErr w:type="spellStart"/>
      <w:r>
        <w:t>Download</w:t>
      </w:r>
      <w:proofErr w:type="spellEnd"/>
      <w:r>
        <w:t xml:space="preserve">) от дясната страна на реда. </w:t>
      </w:r>
    </w:p>
    <w:p w:rsidR="009C5F27" w:rsidRDefault="009C5F27"/>
    <w:p w:rsidR="009C5F27" w:rsidRDefault="00B56235">
      <w:r>
        <w:rPr>
          <w:noProof/>
          <w:lang w:eastAsia="bg-BG"/>
        </w:rPr>
        <w:lastRenderedPageBreak/>
        <w:drawing>
          <wp:inline distT="0" distB="0" distL="0" distR="0" wp14:anchorId="1AC67337" wp14:editId="4A3EC20C">
            <wp:extent cx="5796280" cy="2280920"/>
            <wp:effectExtent l="0" t="0" r="0" b="508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96280" cy="2280920"/>
                    </a:xfrm>
                    <a:prstGeom prst="rect">
                      <a:avLst/>
                    </a:prstGeom>
                  </pic:spPr>
                </pic:pic>
              </a:graphicData>
            </a:graphic>
          </wp:inline>
        </w:drawing>
      </w:r>
    </w:p>
    <w:p w:rsidR="009C5F27" w:rsidRDefault="00B56235">
      <w:pPr>
        <w:pStyle w:val="Caption"/>
        <w:rPr>
          <w:b w:val="0"/>
        </w:rPr>
      </w:pPr>
      <w:r>
        <w:rPr>
          <w:b w:val="0"/>
        </w:rPr>
        <w:t>Екран за ARD документи</w:t>
      </w:r>
    </w:p>
    <w:p w:rsidR="009C5F27" w:rsidRDefault="00B56235">
      <w:pPr>
        <w:pStyle w:val="Heading2"/>
      </w:pPr>
      <w:bookmarkStart w:id="43" w:name="_Toc509301397"/>
      <w:bookmarkStart w:id="44" w:name="_Toc10122907"/>
      <w:r>
        <w:t>Списък на ТПП и вторичен пазар</w:t>
      </w:r>
      <w:bookmarkEnd w:id="43"/>
      <w:bookmarkEnd w:id="44"/>
      <w:r>
        <w:t xml:space="preserve"> </w:t>
      </w:r>
    </w:p>
    <w:p w:rsidR="009C5F27" w:rsidRDefault="00B56235">
      <w:r>
        <w:tab/>
        <w:t>Екранът за списък на ТПП (</w:t>
      </w:r>
      <w:r w:rsidRPr="006049D4">
        <w:t>“</w:t>
      </w:r>
      <w:r>
        <w:rPr>
          <w:lang w:val="en-US"/>
        </w:rPr>
        <w:t>PTR</w:t>
      </w:r>
      <w:r w:rsidRPr="006049D4">
        <w:t xml:space="preserve"> </w:t>
      </w:r>
      <w:r>
        <w:rPr>
          <w:lang w:val="en-US"/>
        </w:rPr>
        <w:t>List</w:t>
      </w:r>
      <w:r w:rsidRPr="006049D4">
        <w:t>”)</w:t>
      </w:r>
      <w:r>
        <w:t xml:space="preserve"> показва всички договори</w:t>
      </w:r>
      <w:r w:rsidRPr="006049D4">
        <w:t xml:space="preserve"> (</w:t>
      </w:r>
      <w:r>
        <w:t>търговски права за пренос) на избраната компания. Показва се и цялата информация за извършения вторичен пазар. Всеки договор има уникална идентификация на преносната способност. За годишните търгове в системата се създават 12 договора - за всеки месец. По подразбиране се показват договори, които не са по-стари от 10 дни, но потребителят може да промени броя на дните в полето. Договорите могат да се филтрират по всички колони в таблицата. Също така, договорите, които участват във вторичния пазар, могат да бъдат избирани от падащия списък в зависимост от етапа на процеса (препродажба - изчакваща ОПС, препродажба - одобрена, одобрен трансфер, анулирано прехвърляне…). Колоната с полученото количество е представена с число, ако има еднаква стойност за всеки интервал (годишен и месечен договор), в противен случай се показва с икона „</w:t>
      </w:r>
      <w:r w:rsidR="00283F31">
        <w:t>диаграма</w:t>
      </w:r>
      <w:r>
        <w:t>“ (дневни договори и договори в рамките на деня). Също така, от дясната страна на всеки ред се показва икона, която показва дали договорът е платен. Ако договорът не е платен, бутоните за прехвърляне и препродажба са скрити.</w:t>
      </w:r>
    </w:p>
    <w:p w:rsidR="009C5F27" w:rsidRDefault="009C5F27">
      <w:pPr>
        <w:rPr>
          <w:lang w:val="hr-HR"/>
        </w:rPr>
      </w:pPr>
    </w:p>
    <w:p w:rsidR="009C5F27" w:rsidRDefault="00B56235">
      <w:r>
        <w:rPr>
          <w:noProof/>
          <w:lang w:eastAsia="bg-BG"/>
        </w:rPr>
        <w:drawing>
          <wp:inline distT="0" distB="0" distL="0" distR="0" wp14:anchorId="5DCA5931" wp14:editId="36CC9DB8">
            <wp:extent cx="5796280" cy="2658110"/>
            <wp:effectExtent l="0" t="0" r="0" b="889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96280" cy="2658110"/>
                    </a:xfrm>
                    <a:prstGeom prst="rect">
                      <a:avLst/>
                    </a:prstGeom>
                  </pic:spPr>
                </pic:pic>
              </a:graphicData>
            </a:graphic>
          </wp:inline>
        </w:drawing>
      </w:r>
    </w:p>
    <w:p w:rsidR="009C5F27" w:rsidRDefault="00B56235">
      <w:pPr>
        <w:pStyle w:val="Caption"/>
        <w:rPr>
          <w:b w:val="0"/>
        </w:rPr>
      </w:pPr>
      <w:r>
        <w:rPr>
          <w:b w:val="0"/>
        </w:rPr>
        <w:t>Списък на договорите</w:t>
      </w:r>
    </w:p>
    <w:p w:rsidR="009C5F27" w:rsidRDefault="00B56235">
      <w:r>
        <w:tab/>
        <w:t>С натискане върху реда на договора се отваря подробен формуляр на договора, където се показват времевите редове на договора.</w:t>
      </w:r>
      <w:r>
        <w:rPr>
          <w:color w:val="212121"/>
        </w:rPr>
        <w:t xml:space="preserve"> За годишни и месечни договори вторичният пазар </w:t>
      </w:r>
      <w:r>
        <w:rPr>
          <w:color w:val="212121"/>
        </w:rPr>
        <w:lastRenderedPageBreak/>
        <w:t>може да бъде стартиран с натискане на бутона “Заявка за прехвърляне” или “Заявка за препродажба” (“</w:t>
      </w:r>
      <w:proofErr w:type="spellStart"/>
      <w:r>
        <w:rPr>
          <w:color w:val="212121"/>
        </w:rPr>
        <w:t>Transfer</w:t>
      </w:r>
      <w:proofErr w:type="spellEnd"/>
      <w:r>
        <w:rPr>
          <w:color w:val="212121"/>
        </w:rPr>
        <w:t xml:space="preserve"> </w:t>
      </w:r>
      <w:proofErr w:type="spellStart"/>
      <w:r>
        <w:rPr>
          <w:color w:val="212121"/>
        </w:rPr>
        <w:t>request</w:t>
      </w:r>
      <w:proofErr w:type="spellEnd"/>
      <w:r>
        <w:rPr>
          <w:color w:val="212121"/>
        </w:rPr>
        <w:t>” / “</w:t>
      </w:r>
      <w:proofErr w:type="spellStart"/>
      <w:r>
        <w:rPr>
          <w:color w:val="212121"/>
        </w:rPr>
        <w:t>Resale</w:t>
      </w:r>
      <w:proofErr w:type="spellEnd"/>
      <w:r>
        <w:rPr>
          <w:color w:val="212121"/>
        </w:rPr>
        <w:t xml:space="preserve"> </w:t>
      </w:r>
      <w:proofErr w:type="spellStart"/>
      <w:r>
        <w:rPr>
          <w:color w:val="212121"/>
        </w:rPr>
        <w:t>request</w:t>
      </w:r>
      <w:proofErr w:type="spellEnd"/>
      <w:r>
        <w:rPr>
          <w:color w:val="212121"/>
        </w:rPr>
        <w:t xml:space="preserve">”). </w:t>
      </w:r>
    </w:p>
    <w:p w:rsidR="009C5F27" w:rsidRDefault="009C5F27">
      <w:pPr>
        <w:rPr>
          <w:lang w:val="hr-HR"/>
        </w:rPr>
      </w:pPr>
    </w:p>
    <w:p w:rsidR="009C5F27" w:rsidRDefault="00B56235">
      <w:r>
        <w:rPr>
          <w:noProof/>
          <w:lang w:eastAsia="bg-BG"/>
        </w:rPr>
        <w:drawing>
          <wp:inline distT="0" distB="0" distL="0" distR="0" wp14:anchorId="62CB6B6A" wp14:editId="30E4BDF7">
            <wp:extent cx="5796280" cy="103378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96280" cy="1033780"/>
                    </a:xfrm>
                    <a:prstGeom prst="rect">
                      <a:avLst/>
                    </a:prstGeom>
                  </pic:spPr>
                </pic:pic>
              </a:graphicData>
            </a:graphic>
          </wp:inline>
        </w:drawing>
      </w:r>
    </w:p>
    <w:p w:rsidR="009C5F27" w:rsidRDefault="009C5F27">
      <w:pPr>
        <w:rPr>
          <w:lang w:val="hr-HR"/>
        </w:rPr>
      </w:pPr>
    </w:p>
    <w:p w:rsidR="009C5F27" w:rsidRDefault="00B56235">
      <w:pPr>
        <w:pStyle w:val="Caption"/>
        <w:rPr>
          <w:b w:val="0"/>
        </w:rPr>
      </w:pPr>
      <w:r>
        <w:rPr>
          <w:b w:val="0"/>
        </w:rPr>
        <w:t>Времеви редове на договора</w:t>
      </w:r>
    </w:p>
    <w:p w:rsidR="009C5F27" w:rsidRDefault="009C5F27">
      <w:pPr>
        <w:rPr>
          <w:lang w:val="hr-HR"/>
        </w:rPr>
      </w:pPr>
    </w:p>
    <w:p w:rsidR="009C5F27" w:rsidRDefault="00B56235">
      <w:r>
        <w:tab/>
        <w:t>Извършва се и проверка на крайния срок. Ако крайният срок е изтекъл, потребителят не може да прави заявки, следователно бутоните са скрити. Възможно е също вторичният пазар да бъде извършван само за част от договора (непълното количество на търговското право за пренос).</w:t>
      </w:r>
    </w:p>
    <w:p w:rsidR="009C5F27" w:rsidRDefault="00B56235">
      <w:r>
        <w:tab/>
        <w:t>Възможно е също да се отменят заявките на вторичния пазар. След въвеждане на заявката в системата в заявката се показва бутон “Отказ” (</w:t>
      </w:r>
      <w:proofErr w:type="spellStart"/>
      <w:r>
        <w:t>Cancel</w:t>
      </w:r>
      <w:proofErr w:type="spellEnd"/>
      <w:r>
        <w:t xml:space="preserve">). С натискане на този бутон заявката се анулира. Всички заявки се анулират автоматично след 4 часа, ако те не бъдат приети или отхвърлени.  </w:t>
      </w:r>
    </w:p>
    <w:p w:rsidR="009C5F27" w:rsidRDefault="009C5F27">
      <w:pPr>
        <w:rPr>
          <w:lang w:val="hr-HR"/>
        </w:rPr>
      </w:pPr>
    </w:p>
    <w:p w:rsidR="009C5F27" w:rsidRDefault="00B56235">
      <w:r>
        <w:rPr>
          <w:noProof/>
          <w:lang w:eastAsia="bg-BG"/>
        </w:rPr>
        <w:drawing>
          <wp:inline distT="0" distB="0" distL="0" distR="0" wp14:anchorId="634CB855" wp14:editId="11487A69">
            <wp:extent cx="5796280" cy="103441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96280" cy="1034415"/>
                    </a:xfrm>
                    <a:prstGeom prst="rect">
                      <a:avLst/>
                    </a:prstGeom>
                  </pic:spPr>
                </pic:pic>
              </a:graphicData>
            </a:graphic>
          </wp:inline>
        </w:drawing>
      </w:r>
    </w:p>
    <w:p w:rsidR="009C5F27" w:rsidRDefault="00B56235">
      <w:pPr>
        <w:jc w:val="center"/>
        <w:rPr>
          <w:sz w:val="22"/>
          <w:szCs w:val="22"/>
        </w:rPr>
      </w:pPr>
      <w:r>
        <w:rPr>
          <w:sz w:val="22"/>
          <w:szCs w:val="22"/>
        </w:rPr>
        <w:t>Анулиране на заявки</w:t>
      </w:r>
    </w:p>
    <w:p w:rsidR="009C5F27" w:rsidRDefault="009C5F27">
      <w:pPr>
        <w:rPr>
          <w:lang w:val="hr-HR"/>
        </w:rPr>
      </w:pPr>
    </w:p>
    <w:p w:rsidR="009C5F27" w:rsidRDefault="00B56235">
      <w:pPr>
        <w:pStyle w:val="Heading3"/>
      </w:pPr>
      <w:r>
        <w:t>Препродажба</w:t>
      </w:r>
    </w:p>
    <w:p w:rsidR="009C5F27" w:rsidRDefault="00B56235">
      <w:r>
        <w:rPr>
          <w:color w:val="212121"/>
        </w:rPr>
        <w:tab/>
        <w:t>Ако е избрана “Заявка за препродажба” (</w:t>
      </w:r>
      <w:proofErr w:type="spellStart"/>
      <w:r>
        <w:rPr>
          <w:color w:val="212121"/>
        </w:rPr>
        <w:t>Resale</w:t>
      </w:r>
      <w:proofErr w:type="spellEnd"/>
      <w:r>
        <w:rPr>
          <w:color w:val="212121"/>
        </w:rPr>
        <w:t xml:space="preserve"> </w:t>
      </w:r>
      <w:proofErr w:type="spellStart"/>
      <w:r>
        <w:rPr>
          <w:color w:val="212121"/>
        </w:rPr>
        <w:t>request</w:t>
      </w:r>
      <w:proofErr w:type="spellEnd"/>
      <w:r>
        <w:rPr>
          <w:color w:val="212121"/>
        </w:rPr>
        <w:t xml:space="preserve">), се отваря нов прозорец, където потребителят може да избере период и стойност за препродажба. </w:t>
      </w:r>
      <w:r>
        <w:t>С натискане на бутона “Избери всички” (</w:t>
      </w:r>
      <w:proofErr w:type="spellStart"/>
      <w:r>
        <w:t>Select</w:t>
      </w:r>
      <w:proofErr w:type="spellEnd"/>
      <w:r>
        <w:t xml:space="preserve"> </w:t>
      </w:r>
      <w:proofErr w:type="spellStart"/>
      <w:r>
        <w:t>all</w:t>
      </w:r>
      <w:proofErr w:type="spellEnd"/>
      <w:r>
        <w:t>) се избира целия времеви диапазон. С натискане на бутона “Попълни” (</w:t>
      </w:r>
      <w:proofErr w:type="spellStart"/>
      <w:r>
        <w:t>Fill</w:t>
      </w:r>
      <w:proofErr w:type="spellEnd"/>
      <w:r>
        <w:t>) всички времеви интервали се запълват с избрана стойност. Ако резолюцията на договора е месечна, тя може да се промени на дневна като се натисне бутон “Превключване към дневна резолюция” (</w:t>
      </w:r>
      <w:proofErr w:type="spellStart"/>
      <w:r>
        <w:t>Switch</w:t>
      </w:r>
      <w:proofErr w:type="spellEnd"/>
      <w:r>
        <w:t xml:space="preserve"> to </w:t>
      </w:r>
      <w:proofErr w:type="spellStart"/>
      <w:r>
        <w:t>daily</w:t>
      </w:r>
      <w:proofErr w:type="spellEnd"/>
      <w:r>
        <w:t xml:space="preserve"> </w:t>
      </w:r>
      <w:proofErr w:type="spellStart"/>
      <w:r>
        <w:t>resolution</w:t>
      </w:r>
      <w:proofErr w:type="spellEnd"/>
      <w:r>
        <w:t>). С натискане на бутон “Запази” (Save) се подава заявка за прехвърляне и системата изчаква ОПС да отговори.</w:t>
      </w:r>
    </w:p>
    <w:p w:rsidR="009C5F27" w:rsidRDefault="009C5F27">
      <w:pPr>
        <w:rPr>
          <w:lang w:val="hr-HR"/>
        </w:rPr>
      </w:pPr>
    </w:p>
    <w:p w:rsidR="009C5F27" w:rsidRDefault="00B56235">
      <w:r>
        <w:rPr>
          <w:noProof/>
          <w:lang w:eastAsia="bg-BG"/>
        </w:rPr>
        <w:lastRenderedPageBreak/>
        <w:drawing>
          <wp:inline distT="0" distB="0" distL="0" distR="0" wp14:anchorId="248CC658" wp14:editId="47A1DA49">
            <wp:extent cx="5796280" cy="242633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96280" cy="2426335"/>
                    </a:xfrm>
                    <a:prstGeom prst="rect">
                      <a:avLst/>
                    </a:prstGeom>
                  </pic:spPr>
                </pic:pic>
              </a:graphicData>
            </a:graphic>
          </wp:inline>
        </w:drawing>
      </w:r>
    </w:p>
    <w:p w:rsidR="009C5F27" w:rsidRDefault="00B56235">
      <w:pPr>
        <w:pStyle w:val="Caption"/>
        <w:rPr>
          <w:b w:val="0"/>
        </w:rPr>
      </w:pPr>
      <w:r>
        <w:rPr>
          <w:b w:val="0"/>
        </w:rPr>
        <w:t>Подготовка на заявка за препродажба</w:t>
      </w:r>
    </w:p>
    <w:p w:rsidR="009C5F27" w:rsidRDefault="00B56235">
      <w:r>
        <w:tab/>
        <w:t>Всички приети заявки могат да се видят чрез избиране на “Одобрена препродажба” (</w:t>
      </w:r>
      <w:proofErr w:type="spellStart"/>
      <w:r>
        <w:t>Resale</w:t>
      </w:r>
      <w:proofErr w:type="spellEnd"/>
      <w:r>
        <w:t xml:space="preserve"> </w:t>
      </w:r>
      <w:proofErr w:type="spellStart"/>
      <w:r>
        <w:t>approved</w:t>
      </w:r>
      <w:proofErr w:type="spellEnd"/>
      <w:r>
        <w:t>) или “Отказана препродажба” (</w:t>
      </w:r>
      <w:proofErr w:type="spellStart"/>
      <w:r>
        <w:t>Resale</w:t>
      </w:r>
      <w:proofErr w:type="spellEnd"/>
      <w:r>
        <w:t xml:space="preserve"> </w:t>
      </w:r>
      <w:proofErr w:type="spellStart"/>
      <w:r>
        <w:t>refused</w:t>
      </w:r>
      <w:proofErr w:type="spellEnd"/>
      <w:r>
        <w:t>) от падащия списък.</w:t>
      </w:r>
    </w:p>
    <w:p w:rsidR="009C5F27" w:rsidRDefault="00B56235">
      <w:pPr>
        <w:pStyle w:val="Heading3"/>
      </w:pPr>
      <w:r>
        <w:t>Прехвърляне</w:t>
      </w:r>
    </w:p>
    <w:p w:rsidR="009C5F27" w:rsidRDefault="00B56235">
      <w:pPr>
        <w:rPr>
          <w:rFonts w:cs="Arial"/>
        </w:rPr>
      </w:pPr>
      <w:r>
        <w:rPr>
          <w:color w:val="212121"/>
        </w:rPr>
        <w:tab/>
        <w:t>Ако е избрана “Заявка за прехвърляне” (</w:t>
      </w:r>
      <w:proofErr w:type="spellStart"/>
      <w:r>
        <w:rPr>
          <w:color w:val="212121"/>
        </w:rPr>
        <w:t>Transfer</w:t>
      </w:r>
      <w:proofErr w:type="spellEnd"/>
      <w:r>
        <w:rPr>
          <w:color w:val="212121"/>
        </w:rPr>
        <w:t xml:space="preserve"> </w:t>
      </w:r>
      <w:proofErr w:type="spellStart"/>
      <w:r>
        <w:rPr>
          <w:color w:val="212121"/>
        </w:rPr>
        <w:t>request</w:t>
      </w:r>
      <w:proofErr w:type="spellEnd"/>
      <w:r>
        <w:rPr>
          <w:color w:val="212121"/>
        </w:rPr>
        <w:t xml:space="preserve">), се отваря нов прозорец, където потребителят може да избере период за прехвърляне и пазарен участник, който иска да прехвърли количеството. </w:t>
      </w:r>
      <w:r>
        <w:t>С натискане на бутона “Избери всички” (</w:t>
      </w:r>
      <w:proofErr w:type="spellStart"/>
      <w:r>
        <w:t>Select</w:t>
      </w:r>
      <w:proofErr w:type="spellEnd"/>
      <w:r>
        <w:t xml:space="preserve"> </w:t>
      </w:r>
      <w:proofErr w:type="spellStart"/>
      <w:r>
        <w:t>all</w:t>
      </w:r>
      <w:proofErr w:type="spellEnd"/>
      <w:r>
        <w:t>) се избира целия времеви диапазон. С натискане на бутона “Попълни” (</w:t>
      </w:r>
      <w:proofErr w:type="spellStart"/>
      <w:r>
        <w:t>Fill</w:t>
      </w:r>
      <w:proofErr w:type="spellEnd"/>
      <w:r>
        <w:t>) всички времеви интервали се запълват с избрана стойност. Ако резолюцията на договора е месечна, тя може да се промени на дневна като се натисне бутон “Превключване към дневна резолюция” (</w:t>
      </w:r>
      <w:proofErr w:type="spellStart"/>
      <w:r>
        <w:t>Switch</w:t>
      </w:r>
      <w:proofErr w:type="spellEnd"/>
      <w:r>
        <w:t xml:space="preserve"> to </w:t>
      </w:r>
      <w:proofErr w:type="spellStart"/>
      <w:r>
        <w:t>daily</w:t>
      </w:r>
      <w:proofErr w:type="spellEnd"/>
      <w:r>
        <w:t xml:space="preserve"> </w:t>
      </w:r>
      <w:proofErr w:type="spellStart"/>
      <w:r>
        <w:t>resolution</w:t>
      </w:r>
      <w:proofErr w:type="spellEnd"/>
      <w:r>
        <w:t xml:space="preserve">). С натискане на бутон “Запази” (Save) се подава заявка за прехвърляне и системата изчаква пазарния участник да отговори. </w:t>
      </w:r>
    </w:p>
    <w:p w:rsidR="009C5F27" w:rsidRDefault="009C5F27">
      <w:pPr>
        <w:rPr>
          <w:lang w:val="hr-HR"/>
        </w:rPr>
      </w:pPr>
    </w:p>
    <w:p w:rsidR="009C5F27" w:rsidRDefault="00B56235">
      <w:r>
        <w:rPr>
          <w:noProof/>
          <w:lang w:eastAsia="bg-BG"/>
        </w:rPr>
        <w:drawing>
          <wp:inline distT="0" distB="0" distL="0" distR="0" wp14:anchorId="274004D4" wp14:editId="5E05F87A">
            <wp:extent cx="5796280" cy="2411730"/>
            <wp:effectExtent l="0" t="0" r="0" b="762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96280" cy="2411730"/>
                    </a:xfrm>
                    <a:prstGeom prst="rect">
                      <a:avLst/>
                    </a:prstGeom>
                  </pic:spPr>
                </pic:pic>
              </a:graphicData>
            </a:graphic>
          </wp:inline>
        </w:drawing>
      </w:r>
    </w:p>
    <w:p w:rsidR="009C5F27" w:rsidRDefault="00B56235">
      <w:pPr>
        <w:pStyle w:val="Caption"/>
        <w:rPr>
          <w:b w:val="0"/>
        </w:rPr>
      </w:pPr>
      <w:r>
        <w:rPr>
          <w:b w:val="0"/>
        </w:rPr>
        <w:t>Подготовка на заявка за прехвърляне</w:t>
      </w:r>
    </w:p>
    <w:p w:rsidR="009C5F27" w:rsidRDefault="00B56235">
      <w:r>
        <w:tab/>
        <w:t>Търговците на преносна способност могат да видят всички съответни заявки, като изберат от падащия списък “Прехвърляне - чакащо пазарен участник”. Те могат да приемат или откажат заявка като натиснат върху бутон “Приеми” (</w:t>
      </w:r>
      <w:proofErr w:type="spellStart"/>
      <w:r>
        <w:t>Accept</w:t>
      </w:r>
      <w:proofErr w:type="spellEnd"/>
      <w:r>
        <w:t>) или “Отказ” (</w:t>
      </w:r>
      <w:proofErr w:type="spellStart"/>
      <w:r>
        <w:t>Refuse</w:t>
      </w:r>
      <w:proofErr w:type="spellEnd"/>
      <w:r>
        <w:t>). Всички приети заявки могат да се видят чрез избиране на “Одобрено прехвърляне” (</w:t>
      </w:r>
      <w:proofErr w:type="spellStart"/>
      <w:r>
        <w:t>Transfer</w:t>
      </w:r>
      <w:proofErr w:type="spellEnd"/>
      <w:r>
        <w:t xml:space="preserve"> </w:t>
      </w:r>
      <w:proofErr w:type="spellStart"/>
      <w:r>
        <w:t>approved</w:t>
      </w:r>
      <w:proofErr w:type="spellEnd"/>
      <w:r>
        <w:t>) или “Неодобрено прехвърляне” (</w:t>
      </w:r>
      <w:proofErr w:type="spellStart"/>
      <w:r>
        <w:t>Transfer</w:t>
      </w:r>
      <w:proofErr w:type="spellEnd"/>
      <w:r>
        <w:t xml:space="preserve"> </w:t>
      </w:r>
      <w:proofErr w:type="spellStart"/>
      <w:r>
        <w:t>not</w:t>
      </w:r>
      <w:proofErr w:type="spellEnd"/>
      <w:r>
        <w:t xml:space="preserve"> </w:t>
      </w:r>
      <w:proofErr w:type="spellStart"/>
      <w:r>
        <w:t>approved</w:t>
      </w:r>
      <w:proofErr w:type="spellEnd"/>
      <w:r>
        <w:t>) от падащия списък. Ако искането бъде прието, в списъка на договора се вижда новосъздаден договор.</w:t>
      </w:r>
    </w:p>
    <w:p w:rsidR="009C5F27" w:rsidRDefault="009C5F27">
      <w:pPr>
        <w:rPr>
          <w:lang w:val="hr-HR"/>
        </w:rPr>
      </w:pPr>
    </w:p>
    <w:p w:rsidR="009C5F27" w:rsidRDefault="00B56235">
      <w:r>
        <w:rPr>
          <w:noProof/>
          <w:lang w:eastAsia="bg-BG"/>
        </w:rPr>
        <w:drawing>
          <wp:inline distT="0" distB="0" distL="0" distR="0" wp14:anchorId="261A5AC1" wp14:editId="5C18704F">
            <wp:extent cx="5796280" cy="2168525"/>
            <wp:effectExtent l="0" t="0" r="0" b="317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96280" cy="2168525"/>
                    </a:xfrm>
                    <a:prstGeom prst="rect">
                      <a:avLst/>
                    </a:prstGeom>
                  </pic:spPr>
                </pic:pic>
              </a:graphicData>
            </a:graphic>
          </wp:inline>
        </w:drawing>
      </w:r>
    </w:p>
    <w:p w:rsidR="009C5F27" w:rsidRDefault="00B56235">
      <w:pPr>
        <w:pStyle w:val="Caption"/>
        <w:rPr>
          <w:b w:val="0"/>
        </w:rPr>
      </w:pPr>
      <w:r>
        <w:rPr>
          <w:b w:val="0"/>
        </w:rPr>
        <w:t>Приемане на заявка за прехвърляне</w:t>
      </w:r>
    </w:p>
    <w:p w:rsidR="009C5F27" w:rsidRDefault="00B56235">
      <w:pPr>
        <w:pStyle w:val="Heading2"/>
      </w:pPr>
      <w:bookmarkStart w:id="45" w:name="_Toc509301398"/>
      <w:bookmarkStart w:id="46" w:name="_Toc10122908"/>
      <w:r>
        <w:t>Редуциране на преносна способност</w:t>
      </w:r>
      <w:bookmarkEnd w:id="45"/>
      <w:bookmarkEnd w:id="46"/>
    </w:p>
    <w:p w:rsidR="009C5F27" w:rsidRDefault="00B56235">
      <w:r>
        <w:tab/>
        <w:t xml:space="preserve">Понякога може да настъпи редуциране на преносната способност на дадена граница за определен период от време. В този случай всички договори (количествата разпределени права) в този период трябва да бъдат редуцирани. Изчисляването на редуцираното количество се основава на пропорционалния алгоритъм. Договорите, включени в процеса на редуциране, са маркирани с икона „редуциране“. </w:t>
      </w:r>
    </w:p>
    <w:p w:rsidR="009C5F27" w:rsidRDefault="009C5F27">
      <w:pPr>
        <w:rPr>
          <w:lang w:val="hr-HR"/>
        </w:rPr>
      </w:pPr>
    </w:p>
    <w:p w:rsidR="009C5F27" w:rsidRDefault="00B56235">
      <w:pPr>
        <w:rPr>
          <w:noProof/>
        </w:rPr>
      </w:pPr>
      <w:r>
        <w:rPr>
          <w:noProof/>
          <w:lang w:eastAsia="bg-BG"/>
        </w:rPr>
        <w:drawing>
          <wp:inline distT="0" distB="0" distL="0" distR="0" wp14:anchorId="37BDFD16" wp14:editId="0EA2F762">
            <wp:extent cx="5781675" cy="1085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81675" cy="1085850"/>
                    </a:xfrm>
                    <a:prstGeom prst="rect">
                      <a:avLst/>
                    </a:prstGeom>
                    <a:noFill/>
                    <a:ln>
                      <a:noFill/>
                    </a:ln>
                  </pic:spPr>
                </pic:pic>
              </a:graphicData>
            </a:graphic>
          </wp:inline>
        </w:drawing>
      </w:r>
    </w:p>
    <w:p w:rsidR="009C5F27" w:rsidRDefault="00B56235">
      <w:pPr>
        <w:pStyle w:val="Caption"/>
        <w:rPr>
          <w:b w:val="0"/>
        </w:rPr>
      </w:pPr>
      <w:r>
        <w:rPr>
          <w:b w:val="0"/>
        </w:rPr>
        <w:t>Списък на договора след редуциране</w:t>
      </w:r>
    </w:p>
    <w:p w:rsidR="009C5F27" w:rsidRDefault="009C5F27">
      <w:pPr>
        <w:rPr>
          <w:noProof/>
          <w:lang w:val="hr-HR"/>
        </w:rPr>
      </w:pPr>
    </w:p>
    <w:p w:rsidR="009C5F27" w:rsidRDefault="00B56235">
      <w:r>
        <w:tab/>
        <w:t xml:space="preserve">Също така, когато потребителят натисне върху договора се показват времеви редове. Периодите, които са включени в редуцирането, също са маркирани с иконата за редуциране. </w:t>
      </w:r>
    </w:p>
    <w:p w:rsidR="009C5F27" w:rsidRDefault="009C5F27">
      <w:pPr>
        <w:rPr>
          <w:noProof/>
          <w:lang w:val="hr-HR"/>
        </w:rPr>
      </w:pPr>
    </w:p>
    <w:p w:rsidR="009C5F27" w:rsidRDefault="00B56235">
      <w:pPr>
        <w:rPr>
          <w:noProof/>
        </w:rPr>
      </w:pPr>
      <w:r>
        <w:rPr>
          <w:noProof/>
          <w:lang w:eastAsia="bg-BG"/>
        </w:rPr>
        <w:drawing>
          <wp:inline distT="0" distB="0" distL="0" distR="0" wp14:anchorId="1CF91B88" wp14:editId="1BA1FB56">
            <wp:extent cx="5791200" cy="21431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91200" cy="2143125"/>
                    </a:xfrm>
                    <a:prstGeom prst="rect">
                      <a:avLst/>
                    </a:prstGeom>
                    <a:noFill/>
                    <a:ln>
                      <a:noFill/>
                    </a:ln>
                  </pic:spPr>
                </pic:pic>
              </a:graphicData>
            </a:graphic>
          </wp:inline>
        </w:drawing>
      </w:r>
      <w:r>
        <w:t xml:space="preserve"> </w:t>
      </w:r>
    </w:p>
    <w:p w:rsidR="009C5F27" w:rsidRDefault="00B56235">
      <w:pPr>
        <w:jc w:val="center"/>
        <w:rPr>
          <w:noProof/>
          <w:sz w:val="22"/>
          <w:szCs w:val="22"/>
        </w:rPr>
      </w:pPr>
      <w:r>
        <w:rPr>
          <w:sz w:val="22"/>
          <w:szCs w:val="22"/>
        </w:rPr>
        <w:t>Редуциране на периода</w:t>
      </w:r>
    </w:p>
    <w:p w:rsidR="009C5F27" w:rsidRDefault="009C5F27">
      <w:pPr>
        <w:jc w:val="center"/>
        <w:rPr>
          <w:noProof/>
          <w:sz w:val="22"/>
          <w:szCs w:val="22"/>
          <w:lang w:val="hr-HR"/>
        </w:rPr>
      </w:pPr>
    </w:p>
    <w:p w:rsidR="009C5F27" w:rsidRDefault="00B56235">
      <w:pPr>
        <w:rPr>
          <w:rFonts w:cs="Arial"/>
          <w:color w:val="212121"/>
        </w:rPr>
      </w:pPr>
      <w:r>
        <w:lastRenderedPageBreak/>
        <w:tab/>
        <w:t>С натискане върху този период се отваря нова таблица, която показва нови времеви редове в дневната резолюция.</w:t>
      </w:r>
      <w:r>
        <w:rPr>
          <w:color w:val="212121"/>
        </w:rPr>
        <w:t xml:space="preserve"> Редуциране количество и новото получено количество се показват за всеки час. Всички засегнати търговци се уведомяват за редуцирането по електронна поща. </w:t>
      </w:r>
    </w:p>
    <w:p w:rsidR="009C5F27" w:rsidRDefault="009C5F27">
      <w:pPr>
        <w:rPr>
          <w:lang w:val="hr-HR"/>
        </w:rPr>
      </w:pPr>
    </w:p>
    <w:p w:rsidR="009C5F27" w:rsidRDefault="00B56235">
      <w:r>
        <w:rPr>
          <w:noProof/>
          <w:lang w:eastAsia="bg-BG"/>
        </w:rPr>
        <w:drawing>
          <wp:inline distT="0" distB="0" distL="0" distR="0" wp14:anchorId="55A35BB0" wp14:editId="77014434">
            <wp:extent cx="5796280" cy="21278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96280" cy="2127885"/>
                    </a:xfrm>
                    <a:prstGeom prst="rect">
                      <a:avLst/>
                    </a:prstGeom>
                  </pic:spPr>
                </pic:pic>
              </a:graphicData>
            </a:graphic>
          </wp:inline>
        </w:drawing>
      </w:r>
    </w:p>
    <w:p w:rsidR="009C5F27" w:rsidRDefault="00B56235">
      <w:pPr>
        <w:pStyle w:val="Caption"/>
        <w:rPr>
          <w:b w:val="0"/>
        </w:rPr>
      </w:pPr>
      <w:r>
        <w:rPr>
          <w:b w:val="0"/>
        </w:rPr>
        <w:t>Информация за редуцирането</w:t>
      </w:r>
    </w:p>
    <w:sectPr w:rsidR="009C5F27">
      <w:headerReference w:type="default" r:id="rId69"/>
      <w:headerReference w:type="first" r:id="rId70"/>
      <w:footerReference w:type="first" r:id="rId71"/>
      <w:pgSz w:w="11907" w:h="16840" w:code="9"/>
      <w:pgMar w:top="357" w:right="1361" w:bottom="1440" w:left="1418" w:header="720" w:footer="720" w:gutter="0"/>
      <w:cols w:space="72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945C36" w15:done="0"/>
  <w15:commentEx w15:paraId="3CA251EB" w15:done="0"/>
  <w15:commentEx w15:paraId="3A2D7718" w15:done="0"/>
  <w15:commentEx w15:paraId="7D3E9B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BC5" w:rsidRDefault="00974BC5">
      <w:r>
        <w:separator/>
      </w:r>
    </w:p>
  </w:endnote>
  <w:endnote w:type="continuationSeparator" w:id="0">
    <w:p w:rsidR="00974BC5" w:rsidRDefault="00974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wis721 BT">
    <w:altName w:val="Arial"/>
    <w:panose1 w:val="020B0504020202020204"/>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BC5" w:rsidRDefault="00974BC5">
    <w:pPr>
      <w:rPr>
        <w:rFonts w:cs="Arial"/>
      </w:rPr>
    </w:pPr>
    <w:proofErr w:type="spellStart"/>
    <w:r>
      <w:t>Frm</w:t>
    </w:r>
    <w:proofErr w:type="spellEnd"/>
    <w:r>
      <w:t xml:space="preserve">.8340-xx-xx-xxxx.01; </w:t>
    </w:r>
    <w:proofErr w:type="spellStart"/>
    <w:r>
      <w:t>Rev</w:t>
    </w:r>
    <w:proofErr w:type="spellEnd"/>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BC5" w:rsidRDefault="00974BC5">
      <w:r>
        <w:separator/>
      </w:r>
    </w:p>
  </w:footnote>
  <w:footnote w:type="continuationSeparator" w:id="0">
    <w:p w:rsidR="00974BC5" w:rsidRDefault="00974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48" w:type="dxa"/>
      <w:tblLayout w:type="fixed"/>
      <w:tblLook w:val="0000" w:firstRow="0" w:lastRow="0" w:firstColumn="0" w:lastColumn="0" w:noHBand="0" w:noVBand="0"/>
    </w:tblPr>
    <w:tblGrid>
      <w:gridCol w:w="2844"/>
      <w:gridCol w:w="4252"/>
      <w:gridCol w:w="2252"/>
    </w:tblGrid>
    <w:tr w:rsidR="00974BC5">
      <w:trPr>
        <w:trHeight w:val="312"/>
        <w:tblHeader/>
      </w:trPr>
      <w:tc>
        <w:tcPr>
          <w:tcW w:w="2844" w:type="dxa"/>
          <w:vMerge w:val="restart"/>
          <w:tcBorders>
            <w:top w:val="single" w:sz="6" w:space="0" w:color="auto"/>
            <w:left w:val="single" w:sz="6" w:space="0" w:color="auto"/>
            <w:right w:val="single" w:sz="6" w:space="0" w:color="auto"/>
          </w:tcBorders>
          <w:vAlign w:val="center"/>
        </w:tcPr>
        <w:p w:rsidR="00974BC5" w:rsidRDefault="00974BC5">
          <w:pPr>
            <w:tabs>
              <w:tab w:val="center" w:pos="1106"/>
            </w:tabs>
            <w:spacing w:before="60" w:after="60"/>
            <w:jc w:val="center"/>
            <w:rPr>
              <w:rFonts w:asciiTheme="minorBidi" w:hAnsiTheme="minorBidi" w:cstheme="minorBidi"/>
              <w:b/>
              <w:noProof/>
            </w:rPr>
          </w:pPr>
          <w:r>
            <w:rPr>
              <w:rFonts w:asciiTheme="minorBidi" w:hAnsiTheme="minorBidi" w:cstheme="minorBidi"/>
              <w:b/>
              <w:noProof/>
              <w:lang w:eastAsia="bg-BG"/>
            </w:rPr>
            <w:drawing>
              <wp:inline distT="0" distB="0" distL="0" distR="0" wp14:anchorId="14BACBB0" wp14:editId="5D24D99B">
                <wp:extent cx="1466850" cy="246697"/>
                <wp:effectExtent l="19050" t="0" r="0" b="0"/>
                <wp:docPr id="4" name="Picture 0" descr="KONCAR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KONCAR_logo_RGB.jpg"/>
                        <pic:cNvPicPr>
                          <a:picLocks noChangeAspect="1" noChangeArrowheads="1"/>
                        </pic:cNvPicPr>
                      </pic:nvPicPr>
                      <pic:blipFill>
                        <a:blip r:embed="rId1" r:link="rId2"/>
                        <a:srcRect/>
                        <a:stretch>
                          <a:fillRect/>
                        </a:stretch>
                      </pic:blipFill>
                      <pic:spPr bwMode="auto">
                        <a:xfrm>
                          <a:off x="0" y="0"/>
                          <a:ext cx="1466850" cy="246697"/>
                        </a:xfrm>
                        <a:prstGeom prst="rect">
                          <a:avLst/>
                        </a:prstGeom>
                        <a:noFill/>
                        <a:ln w="9525">
                          <a:noFill/>
                          <a:miter lim="800000"/>
                          <a:headEnd/>
                          <a:tailEnd/>
                        </a:ln>
                      </pic:spPr>
                    </pic:pic>
                  </a:graphicData>
                </a:graphic>
              </wp:inline>
            </w:drawing>
          </w:r>
        </w:p>
        <w:p w:rsidR="00974BC5" w:rsidRDefault="00974BC5">
          <w:pPr>
            <w:tabs>
              <w:tab w:val="center" w:pos="1106"/>
            </w:tabs>
            <w:spacing w:before="60" w:after="60"/>
            <w:jc w:val="center"/>
            <w:rPr>
              <w:rFonts w:asciiTheme="minorBidi" w:hAnsiTheme="minorBidi" w:cstheme="minorBidi"/>
              <w:sz w:val="16"/>
              <w:szCs w:val="16"/>
            </w:rPr>
          </w:pPr>
          <w:r>
            <w:rPr>
              <w:rFonts w:asciiTheme="minorBidi" w:hAnsiTheme="minorBidi"/>
              <w:b/>
              <w:sz w:val="16"/>
              <w:szCs w:val="16"/>
            </w:rPr>
            <w:t xml:space="preserve">POWER PLANT AND ELECTRIC TRACTION ENGINEERING </w:t>
          </w:r>
          <w:proofErr w:type="spellStart"/>
          <w:r>
            <w:rPr>
              <w:rFonts w:asciiTheme="minorBidi" w:hAnsiTheme="minorBidi"/>
              <w:b/>
              <w:sz w:val="16"/>
              <w:szCs w:val="16"/>
            </w:rPr>
            <w:t>Inc</w:t>
          </w:r>
          <w:proofErr w:type="spellEnd"/>
        </w:p>
      </w:tc>
      <w:sdt>
        <w:sdtPr>
          <w:rPr>
            <w:rFonts w:asciiTheme="minorBidi" w:hAnsiTheme="minorBidi" w:cstheme="minorBidi"/>
            <w:b/>
            <w:sz w:val="28"/>
            <w:szCs w:val="28"/>
          </w:rPr>
          <w:alias w:val="Коментари"/>
          <w:tag w:val=""/>
          <w:id w:val="-349025300"/>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4252" w:type="dxa"/>
              <w:vMerge w:val="restart"/>
              <w:tcBorders>
                <w:top w:val="single" w:sz="6" w:space="0" w:color="auto"/>
                <w:left w:val="nil"/>
                <w:bottom w:val="single" w:sz="6" w:space="0" w:color="auto"/>
                <w:right w:val="single" w:sz="6" w:space="0" w:color="auto"/>
              </w:tcBorders>
              <w:shd w:val="clear" w:color="auto" w:fill="D9D9D9" w:themeFill="background1" w:themeFillShade="D9"/>
              <w:vAlign w:val="center"/>
            </w:tcPr>
            <w:p w:rsidR="00974BC5" w:rsidRDefault="00974BC5">
              <w:pPr>
                <w:pStyle w:val="NoSpacing"/>
                <w:jc w:val="center"/>
                <w:rPr>
                  <w:rStyle w:val="Strong"/>
                  <w:rFonts w:asciiTheme="minorBidi" w:hAnsiTheme="minorBidi" w:cstheme="minorBidi"/>
                  <w:sz w:val="28"/>
                  <w:szCs w:val="28"/>
                </w:rPr>
              </w:pPr>
              <w:r>
                <w:rPr>
                  <w:rFonts w:asciiTheme="minorBidi" w:hAnsiTheme="minorBidi" w:cstheme="minorBidi"/>
                  <w:b/>
                  <w:sz w:val="28"/>
                  <w:szCs w:val="28"/>
                  <w:lang w:val="hr-HR"/>
                </w:rPr>
                <w:t>USER MANUAL</w:t>
              </w:r>
            </w:p>
          </w:tc>
        </w:sdtContent>
      </w:sdt>
      <w:tc>
        <w:tcPr>
          <w:tcW w:w="2252" w:type="dxa"/>
          <w:tcBorders>
            <w:top w:val="single" w:sz="6" w:space="0" w:color="auto"/>
            <w:left w:val="nil"/>
            <w:right w:val="single" w:sz="6" w:space="0" w:color="auto"/>
          </w:tcBorders>
          <w:vAlign w:val="center"/>
        </w:tcPr>
        <w:p w:rsidR="00974BC5" w:rsidRDefault="00974BC5">
          <w:pPr>
            <w:pStyle w:val="HeaderandFooter"/>
            <w:jc w:val="left"/>
            <w:rPr>
              <w:rFonts w:asciiTheme="minorBidi" w:hAnsiTheme="minorBidi"/>
            </w:rPr>
          </w:pPr>
          <w:r>
            <w:rPr>
              <w:rFonts w:asciiTheme="minorBidi" w:hAnsiTheme="minorBidi"/>
            </w:rPr>
            <w:t>№ 8340-xx-xx-xxxx</w:t>
          </w:r>
        </w:p>
      </w:tc>
    </w:tr>
    <w:tr w:rsidR="00974BC5">
      <w:trPr>
        <w:trHeight w:val="312"/>
        <w:tblHeader/>
      </w:trPr>
      <w:tc>
        <w:tcPr>
          <w:tcW w:w="2844" w:type="dxa"/>
          <w:vMerge/>
          <w:tcBorders>
            <w:left w:val="single" w:sz="6" w:space="0" w:color="auto"/>
            <w:right w:val="single" w:sz="6" w:space="0" w:color="auto"/>
          </w:tcBorders>
          <w:vAlign w:val="center"/>
        </w:tcPr>
        <w:p w:rsidR="00974BC5" w:rsidRDefault="00974BC5">
          <w:pPr>
            <w:tabs>
              <w:tab w:val="center" w:pos="1106"/>
            </w:tabs>
            <w:spacing w:before="60" w:after="60"/>
            <w:jc w:val="center"/>
            <w:rPr>
              <w:rFonts w:asciiTheme="minorBidi" w:hAnsiTheme="minorBidi" w:cstheme="minorBidi"/>
              <w:b/>
              <w:noProof/>
            </w:rPr>
          </w:pPr>
        </w:p>
      </w:tc>
      <w:tc>
        <w:tcPr>
          <w:tcW w:w="4252" w:type="dxa"/>
          <w:vMerge/>
          <w:tcBorders>
            <w:left w:val="nil"/>
            <w:bottom w:val="single" w:sz="6" w:space="0" w:color="auto"/>
            <w:right w:val="single" w:sz="6" w:space="0" w:color="auto"/>
          </w:tcBorders>
          <w:shd w:val="clear" w:color="auto" w:fill="D9D9D9" w:themeFill="background1" w:themeFillShade="D9"/>
          <w:vAlign w:val="center"/>
        </w:tcPr>
        <w:p w:rsidR="00974BC5" w:rsidRDefault="00974BC5">
          <w:pPr>
            <w:pStyle w:val="NoSpacing"/>
            <w:jc w:val="center"/>
            <w:rPr>
              <w:rStyle w:val="Strong"/>
              <w:rFonts w:asciiTheme="minorBidi" w:hAnsiTheme="minorBidi" w:cstheme="minorBidi"/>
              <w:sz w:val="28"/>
              <w:szCs w:val="28"/>
            </w:rPr>
          </w:pPr>
        </w:p>
      </w:tc>
      <w:tc>
        <w:tcPr>
          <w:tcW w:w="2252" w:type="dxa"/>
          <w:tcBorders>
            <w:left w:val="nil"/>
            <w:right w:val="single" w:sz="6" w:space="0" w:color="auto"/>
          </w:tcBorders>
          <w:vAlign w:val="center"/>
        </w:tcPr>
        <w:p w:rsidR="00974BC5" w:rsidRDefault="00974BC5">
          <w:pPr>
            <w:pStyle w:val="HeaderandFooter"/>
            <w:jc w:val="left"/>
            <w:rPr>
              <w:rFonts w:asciiTheme="minorBidi" w:hAnsiTheme="minorBidi"/>
            </w:rPr>
          </w:pPr>
          <w:r>
            <w:rPr>
              <w:rStyle w:val="Emphasis"/>
              <w:rFonts w:asciiTheme="minorBidi" w:hAnsiTheme="minorBidi"/>
            </w:rPr>
            <w:t>Изменение</w:t>
          </w:r>
          <w:r>
            <w:rPr>
              <w:rFonts w:asciiTheme="minorBidi" w:hAnsiTheme="minorBidi"/>
            </w:rPr>
            <w:t>: 1</w:t>
          </w:r>
        </w:p>
      </w:tc>
    </w:tr>
    <w:tr w:rsidR="00974BC5">
      <w:trPr>
        <w:trHeight w:val="312"/>
        <w:tblHeader/>
      </w:trPr>
      <w:tc>
        <w:tcPr>
          <w:tcW w:w="2844" w:type="dxa"/>
          <w:vMerge/>
          <w:tcBorders>
            <w:left w:val="single" w:sz="6" w:space="0" w:color="auto"/>
            <w:bottom w:val="single" w:sz="6" w:space="0" w:color="auto"/>
            <w:right w:val="single" w:sz="6" w:space="0" w:color="auto"/>
          </w:tcBorders>
          <w:vAlign w:val="center"/>
        </w:tcPr>
        <w:p w:rsidR="00974BC5" w:rsidRDefault="00974BC5">
          <w:pPr>
            <w:tabs>
              <w:tab w:val="center" w:pos="1106"/>
            </w:tabs>
            <w:spacing w:before="60" w:after="60"/>
            <w:jc w:val="center"/>
            <w:rPr>
              <w:rFonts w:asciiTheme="minorBidi" w:hAnsiTheme="minorBidi" w:cstheme="minorBidi"/>
              <w:b/>
              <w:noProof/>
            </w:rPr>
          </w:pPr>
        </w:p>
      </w:tc>
      <w:tc>
        <w:tcPr>
          <w:tcW w:w="4252" w:type="dxa"/>
          <w:vMerge/>
          <w:tcBorders>
            <w:left w:val="nil"/>
            <w:bottom w:val="single" w:sz="6" w:space="0" w:color="auto"/>
            <w:right w:val="single" w:sz="6" w:space="0" w:color="auto"/>
          </w:tcBorders>
          <w:shd w:val="clear" w:color="auto" w:fill="D9D9D9" w:themeFill="background1" w:themeFillShade="D9"/>
          <w:vAlign w:val="center"/>
        </w:tcPr>
        <w:p w:rsidR="00974BC5" w:rsidRDefault="00974BC5">
          <w:pPr>
            <w:pStyle w:val="NoSpacing"/>
            <w:jc w:val="center"/>
            <w:rPr>
              <w:rStyle w:val="Strong"/>
              <w:rFonts w:asciiTheme="minorBidi" w:hAnsiTheme="minorBidi" w:cstheme="minorBidi"/>
              <w:sz w:val="28"/>
              <w:szCs w:val="28"/>
            </w:rPr>
          </w:pPr>
        </w:p>
      </w:tc>
      <w:tc>
        <w:tcPr>
          <w:tcW w:w="2252" w:type="dxa"/>
          <w:tcBorders>
            <w:left w:val="nil"/>
            <w:bottom w:val="single" w:sz="6" w:space="0" w:color="auto"/>
            <w:right w:val="single" w:sz="6" w:space="0" w:color="auto"/>
          </w:tcBorders>
          <w:vAlign w:val="center"/>
        </w:tcPr>
        <w:p w:rsidR="00974BC5" w:rsidRDefault="00974BC5">
          <w:pPr>
            <w:pStyle w:val="HeaderandFooter"/>
            <w:jc w:val="left"/>
            <w:rPr>
              <w:rFonts w:asciiTheme="minorBidi" w:hAnsiTheme="minorBidi"/>
            </w:rPr>
          </w:pPr>
          <w:r>
            <w:rPr>
              <w:rStyle w:val="Emphasis"/>
              <w:rFonts w:asciiTheme="minorBidi" w:hAnsiTheme="minorBidi"/>
            </w:rPr>
            <w:t>Стр.</w:t>
          </w:r>
          <w:r>
            <w:rPr>
              <w:rFonts w:asciiTheme="minorBidi" w:hAnsiTheme="minorBidi"/>
            </w:rPr>
            <w:t xml:space="preserve">: </w:t>
          </w:r>
          <w:r>
            <w:rPr>
              <w:rFonts w:asciiTheme="minorBidi" w:hAnsiTheme="minorBidi"/>
            </w:rPr>
            <w:fldChar w:fldCharType="begin"/>
          </w:r>
          <w:r>
            <w:rPr>
              <w:rFonts w:asciiTheme="minorBidi" w:hAnsiTheme="minorBidi"/>
            </w:rPr>
            <w:instrText xml:space="preserve"> PAGE   \* MERGEFORMAT </w:instrText>
          </w:r>
          <w:r>
            <w:rPr>
              <w:rFonts w:asciiTheme="minorBidi" w:hAnsiTheme="minorBidi"/>
            </w:rPr>
            <w:fldChar w:fldCharType="separate"/>
          </w:r>
          <w:r w:rsidR="00F250DF">
            <w:rPr>
              <w:rFonts w:asciiTheme="minorBidi" w:hAnsiTheme="minorBidi"/>
              <w:noProof/>
            </w:rPr>
            <w:t>15</w:t>
          </w:r>
          <w:r>
            <w:rPr>
              <w:rFonts w:asciiTheme="minorBidi" w:hAnsiTheme="minorBidi"/>
            </w:rPr>
            <w:fldChar w:fldCharType="end"/>
          </w:r>
          <w:r>
            <w:rPr>
              <w:rFonts w:asciiTheme="minorBidi" w:hAnsiTheme="minorBidi"/>
            </w:rPr>
            <w:t>/</w:t>
          </w:r>
          <w:r>
            <w:rPr>
              <w:rFonts w:asciiTheme="minorBidi" w:hAnsiTheme="minorBidi"/>
            </w:rPr>
            <w:fldChar w:fldCharType="begin"/>
          </w:r>
          <w:r>
            <w:rPr>
              <w:rFonts w:asciiTheme="minorBidi" w:hAnsiTheme="minorBidi"/>
            </w:rPr>
            <w:instrText xml:space="preserve"> NUMPAGES   \* MERGEFORMAT </w:instrText>
          </w:r>
          <w:r>
            <w:rPr>
              <w:rFonts w:asciiTheme="minorBidi" w:hAnsiTheme="minorBidi"/>
            </w:rPr>
            <w:fldChar w:fldCharType="separate"/>
          </w:r>
          <w:r w:rsidR="00F250DF">
            <w:rPr>
              <w:rFonts w:asciiTheme="minorBidi" w:hAnsiTheme="minorBidi"/>
              <w:noProof/>
            </w:rPr>
            <w:t>31</w:t>
          </w:r>
          <w:r>
            <w:rPr>
              <w:rFonts w:asciiTheme="minorBidi" w:hAnsiTheme="minorBidi"/>
            </w:rPr>
            <w:fldChar w:fldCharType="end"/>
          </w:r>
        </w:p>
      </w:tc>
    </w:tr>
  </w:tbl>
  <w:p w:rsidR="00974BC5" w:rsidRDefault="00974B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48" w:type="dxa"/>
      <w:tblLayout w:type="fixed"/>
      <w:tblLook w:val="0000" w:firstRow="0" w:lastRow="0" w:firstColumn="0" w:lastColumn="0" w:noHBand="0" w:noVBand="0"/>
    </w:tblPr>
    <w:tblGrid>
      <w:gridCol w:w="2844"/>
      <w:gridCol w:w="4252"/>
      <w:gridCol w:w="2252"/>
    </w:tblGrid>
    <w:tr w:rsidR="00974BC5">
      <w:trPr>
        <w:trHeight w:val="312"/>
        <w:tblHeader/>
      </w:trPr>
      <w:tc>
        <w:tcPr>
          <w:tcW w:w="2844" w:type="dxa"/>
          <w:vMerge w:val="restart"/>
          <w:tcBorders>
            <w:top w:val="single" w:sz="6" w:space="0" w:color="auto"/>
            <w:left w:val="single" w:sz="6" w:space="0" w:color="auto"/>
            <w:right w:val="single" w:sz="6" w:space="0" w:color="auto"/>
          </w:tcBorders>
          <w:vAlign w:val="center"/>
        </w:tcPr>
        <w:p w:rsidR="00974BC5" w:rsidRDefault="00974BC5">
          <w:pPr>
            <w:tabs>
              <w:tab w:val="center" w:pos="1106"/>
            </w:tabs>
            <w:spacing w:before="60" w:after="60"/>
            <w:jc w:val="center"/>
            <w:rPr>
              <w:rFonts w:asciiTheme="minorBidi" w:hAnsiTheme="minorBidi" w:cstheme="minorBidi"/>
              <w:b/>
              <w:noProof/>
            </w:rPr>
          </w:pPr>
          <w:r>
            <w:rPr>
              <w:rFonts w:asciiTheme="minorBidi" w:hAnsiTheme="minorBidi" w:cstheme="minorBidi"/>
              <w:b/>
              <w:noProof/>
              <w:lang w:eastAsia="bg-BG"/>
            </w:rPr>
            <w:drawing>
              <wp:inline distT="0" distB="0" distL="0" distR="0" wp14:anchorId="1BEF22A1" wp14:editId="40104258">
                <wp:extent cx="1466850" cy="246697"/>
                <wp:effectExtent l="19050" t="0" r="0" b="0"/>
                <wp:docPr id="3" name="Picture 0" descr="KONCAR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KONCAR_logo_RGB.jpg"/>
                        <pic:cNvPicPr>
                          <a:picLocks noChangeAspect="1" noChangeArrowheads="1"/>
                        </pic:cNvPicPr>
                      </pic:nvPicPr>
                      <pic:blipFill>
                        <a:blip r:embed="rId1" r:link="rId2"/>
                        <a:srcRect/>
                        <a:stretch>
                          <a:fillRect/>
                        </a:stretch>
                      </pic:blipFill>
                      <pic:spPr bwMode="auto">
                        <a:xfrm>
                          <a:off x="0" y="0"/>
                          <a:ext cx="1466850" cy="246697"/>
                        </a:xfrm>
                        <a:prstGeom prst="rect">
                          <a:avLst/>
                        </a:prstGeom>
                        <a:noFill/>
                        <a:ln w="9525">
                          <a:noFill/>
                          <a:miter lim="800000"/>
                          <a:headEnd/>
                          <a:tailEnd/>
                        </a:ln>
                      </pic:spPr>
                    </pic:pic>
                  </a:graphicData>
                </a:graphic>
              </wp:inline>
            </w:drawing>
          </w:r>
        </w:p>
        <w:p w:rsidR="00974BC5" w:rsidRDefault="00974BC5">
          <w:pPr>
            <w:tabs>
              <w:tab w:val="center" w:pos="1106"/>
            </w:tabs>
            <w:spacing w:before="60" w:after="60"/>
            <w:jc w:val="center"/>
            <w:rPr>
              <w:rFonts w:asciiTheme="minorBidi" w:hAnsiTheme="minorBidi" w:cstheme="minorBidi"/>
              <w:sz w:val="16"/>
              <w:szCs w:val="16"/>
            </w:rPr>
          </w:pPr>
          <w:r>
            <w:rPr>
              <w:rFonts w:asciiTheme="minorBidi" w:hAnsiTheme="minorBidi"/>
              <w:b/>
              <w:sz w:val="16"/>
              <w:szCs w:val="16"/>
            </w:rPr>
            <w:t>INŽENJERING ZA ENERGETIKU I TRANSPORT d.</w:t>
          </w:r>
          <w:proofErr w:type="spellStart"/>
          <w:r>
            <w:rPr>
              <w:rFonts w:asciiTheme="minorBidi" w:hAnsiTheme="minorBidi"/>
              <w:b/>
              <w:sz w:val="16"/>
              <w:szCs w:val="16"/>
            </w:rPr>
            <w:t>d</w:t>
          </w:r>
          <w:proofErr w:type="spellEnd"/>
          <w:r>
            <w:rPr>
              <w:rFonts w:asciiTheme="minorBidi" w:hAnsiTheme="minorBidi"/>
              <w:b/>
              <w:sz w:val="16"/>
              <w:szCs w:val="16"/>
            </w:rPr>
            <w:t>.</w:t>
          </w:r>
        </w:p>
      </w:tc>
      <w:sdt>
        <w:sdtPr>
          <w:rPr>
            <w:rFonts w:asciiTheme="minorBidi" w:hAnsiTheme="minorBidi" w:cstheme="minorBidi"/>
            <w:b/>
            <w:sz w:val="28"/>
            <w:szCs w:val="28"/>
          </w:rPr>
          <w:alias w:val="Мнения"/>
          <w:tag w:val=""/>
          <w:id w:val="-607662316"/>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4252" w:type="dxa"/>
              <w:vMerge w:val="restart"/>
              <w:tcBorders>
                <w:top w:val="single" w:sz="6" w:space="0" w:color="auto"/>
                <w:left w:val="nil"/>
                <w:bottom w:val="single" w:sz="6" w:space="0" w:color="auto"/>
                <w:right w:val="single" w:sz="6" w:space="0" w:color="auto"/>
              </w:tcBorders>
              <w:shd w:val="clear" w:color="auto" w:fill="D9D9D9" w:themeFill="background1" w:themeFillShade="D9"/>
              <w:vAlign w:val="center"/>
            </w:tcPr>
            <w:p w:rsidR="00974BC5" w:rsidRDefault="00974BC5">
              <w:pPr>
                <w:pStyle w:val="NoSpacing"/>
                <w:jc w:val="center"/>
                <w:rPr>
                  <w:rStyle w:val="Strong"/>
                  <w:rFonts w:asciiTheme="minorBidi" w:hAnsiTheme="minorBidi" w:cstheme="minorBidi"/>
                  <w:sz w:val="28"/>
                  <w:szCs w:val="28"/>
                </w:rPr>
              </w:pPr>
              <w:r>
                <w:rPr>
                  <w:rFonts w:asciiTheme="minorBidi" w:hAnsiTheme="minorBidi" w:cstheme="minorBidi"/>
                  <w:b/>
                  <w:sz w:val="28"/>
                  <w:szCs w:val="28"/>
                  <w:lang w:val="hr-HR"/>
                </w:rPr>
                <w:t>USER MANUAL</w:t>
              </w:r>
            </w:p>
          </w:tc>
        </w:sdtContent>
      </w:sdt>
      <w:tc>
        <w:tcPr>
          <w:tcW w:w="2252" w:type="dxa"/>
          <w:tcBorders>
            <w:top w:val="single" w:sz="6" w:space="0" w:color="auto"/>
            <w:left w:val="nil"/>
            <w:right w:val="single" w:sz="6" w:space="0" w:color="auto"/>
          </w:tcBorders>
          <w:vAlign w:val="center"/>
        </w:tcPr>
        <w:p w:rsidR="00974BC5" w:rsidRDefault="00974BC5">
          <w:pPr>
            <w:pStyle w:val="HeaderandFooter"/>
            <w:jc w:val="left"/>
            <w:rPr>
              <w:rFonts w:asciiTheme="minorBidi" w:hAnsiTheme="minorBidi"/>
            </w:rPr>
          </w:pPr>
          <w:r>
            <w:rPr>
              <w:rFonts w:asciiTheme="minorBidi" w:hAnsiTheme="minorBidi"/>
            </w:rPr>
            <w:t>№ 8340-xx-xx-xxxx</w:t>
          </w:r>
        </w:p>
      </w:tc>
    </w:tr>
    <w:tr w:rsidR="00974BC5">
      <w:trPr>
        <w:trHeight w:val="312"/>
        <w:tblHeader/>
      </w:trPr>
      <w:tc>
        <w:tcPr>
          <w:tcW w:w="2844" w:type="dxa"/>
          <w:vMerge/>
          <w:tcBorders>
            <w:left w:val="single" w:sz="6" w:space="0" w:color="auto"/>
            <w:right w:val="single" w:sz="6" w:space="0" w:color="auto"/>
          </w:tcBorders>
          <w:vAlign w:val="center"/>
        </w:tcPr>
        <w:p w:rsidR="00974BC5" w:rsidRDefault="00974BC5">
          <w:pPr>
            <w:tabs>
              <w:tab w:val="center" w:pos="1106"/>
            </w:tabs>
            <w:spacing w:before="60" w:after="60"/>
            <w:jc w:val="center"/>
            <w:rPr>
              <w:rFonts w:asciiTheme="minorBidi" w:hAnsiTheme="minorBidi" w:cstheme="minorBidi"/>
              <w:b/>
              <w:noProof/>
            </w:rPr>
          </w:pPr>
        </w:p>
      </w:tc>
      <w:tc>
        <w:tcPr>
          <w:tcW w:w="4252" w:type="dxa"/>
          <w:vMerge/>
          <w:tcBorders>
            <w:left w:val="nil"/>
            <w:bottom w:val="single" w:sz="6" w:space="0" w:color="auto"/>
            <w:right w:val="single" w:sz="6" w:space="0" w:color="auto"/>
          </w:tcBorders>
          <w:shd w:val="clear" w:color="auto" w:fill="D9D9D9" w:themeFill="background1" w:themeFillShade="D9"/>
          <w:vAlign w:val="center"/>
        </w:tcPr>
        <w:p w:rsidR="00974BC5" w:rsidRDefault="00974BC5">
          <w:pPr>
            <w:pStyle w:val="NoSpacing"/>
            <w:jc w:val="center"/>
            <w:rPr>
              <w:rStyle w:val="Strong"/>
              <w:rFonts w:asciiTheme="minorBidi" w:hAnsiTheme="minorBidi" w:cstheme="minorBidi"/>
              <w:sz w:val="28"/>
              <w:szCs w:val="28"/>
            </w:rPr>
          </w:pPr>
        </w:p>
      </w:tc>
      <w:tc>
        <w:tcPr>
          <w:tcW w:w="2252" w:type="dxa"/>
          <w:tcBorders>
            <w:left w:val="nil"/>
            <w:right w:val="single" w:sz="6" w:space="0" w:color="auto"/>
          </w:tcBorders>
          <w:vAlign w:val="center"/>
        </w:tcPr>
        <w:p w:rsidR="00974BC5" w:rsidRDefault="00974BC5">
          <w:pPr>
            <w:pStyle w:val="HeaderandFooter"/>
            <w:jc w:val="left"/>
            <w:rPr>
              <w:rFonts w:asciiTheme="minorBidi" w:hAnsiTheme="minorBidi"/>
            </w:rPr>
          </w:pPr>
          <w:r>
            <w:rPr>
              <w:rStyle w:val="Emphasis"/>
              <w:rFonts w:asciiTheme="minorBidi" w:hAnsiTheme="minorBidi"/>
            </w:rPr>
            <w:t>Изменение</w:t>
          </w:r>
          <w:r>
            <w:rPr>
              <w:rFonts w:asciiTheme="minorBidi" w:hAnsiTheme="minorBidi"/>
            </w:rPr>
            <w:t>: 1</w:t>
          </w:r>
        </w:p>
      </w:tc>
    </w:tr>
    <w:tr w:rsidR="00974BC5">
      <w:trPr>
        <w:trHeight w:val="312"/>
        <w:tblHeader/>
      </w:trPr>
      <w:tc>
        <w:tcPr>
          <w:tcW w:w="2844" w:type="dxa"/>
          <w:vMerge/>
          <w:tcBorders>
            <w:left w:val="single" w:sz="6" w:space="0" w:color="auto"/>
            <w:bottom w:val="single" w:sz="6" w:space="0" w:color="auto"/>
            <w:right w:val="single" w:sz="6" w:space="0" w:color="auto"/>
          </w:tcBorders>
          <w:vAlign w:val="center"/>
        </w:tcPr>
        <w:p w:rsidR="00974BC5" w:rsidRDefault="00974BC5">
          <w:pPr>
            <w:tabs>
              <w:tab w:val="center" w:pos="1106"/>
            </w:tabs>
            <w:spacing w:before="60" w:after="60"/>
            <w:jc w:val="center"/>
            <w:rPr>
              <w:rFonts w:asciiTheme="minorBidi" w:hAnsiTheme="minorBidi" w:cstheme="minorBidi"/>
              <w:b/>
              <w:noProof/>
            </w:rPr>
          </w:pPr>
        </w:p>
      </w:tc>
      <w:tc>
        <w:tcPr>
          <w:tcW w:w="4252" w:type="dxa"/>
          <w:vMerge/>
          <w:tcBorders>
            <w:left w:val="nil"/>
            <w:bottom w:val="single" w:sz="6" w:space="0" w:color="auto"/>
            <w:right w:val="single" w:sz="6" w:space="0" w:color="auto"/>
          </w:tcBorders>
          <w:shd w:val="clear" w:color="auto" w:fill="D9D9D9" w:themeFill="background1" w:themeFillShade="D9"/>
          <w:vAlign w:val="center"/>
        </w:tcPr>
        <w:p w:rsidR="00974BC5" w:rsidRDefault="00974BC5">
          <w:pPr>
            <w:pStyle w:val="NoSpacing"/>
            <w:jc w:val="center"/>
            <w:rPr>
              <w:rStyle w:val="Strong"/>
              <w:rFonts w:asciiTheme="minorBidi" w:hAnsiTheme="minorBidi" w:cstheme="minorBidi"/>
              <w:sz w:val="28"/>
              <w:szCs w:val="28"/>
            </w:rPr>
          </w:pPr>
        </w:p>
      </w:tc>
      <w:tc>
        <w:tcPr>
          <w:tcW w:w="2252" w:type="dxa"/>
          <w:tcBorders>
            <w:left w:val="nil"/>
            <w:bottom w:val="single" w:sz="6" w:space="0" w:color="auto"/>
            <w:right w:val="single" w:sz="6" w:space="0" w:color="auto"/>
          </w:tcBorders>
          <w:vAlign w:val="center"/>
        </w:tcPr>
        <w:p w:rsidR="00974BC5" w:rsidRDefault="00974BC5">
          <w:pPr>
            <w:pStyle w:val="HeaderandFooter"/>
            <w:jc w:val="left"/>
            <w:rPr>
              <w:rFonts w:asciiTheme="minorBidi" w:hAnsiTheme="minorBidi"/>
            </w:rPr>
          </w:pPr>
          <w:r>
            <w:rPr>
              <w:rStyle w:val="Emphasis"/>
              <w:rFonts w:asciiTheme="minorBidi" w:hAnsiTheme="minorBidi"/>
            </w:rPr>
            <w:t>Стр.</w:t>
          </w:r>
          <w:r>
            <w:rPr>
              <w:rFonts w:asciiTheme="minorBidi" w:hAnsiTheme="minorBidi"/>
            </w:rPr>
            <w:t xml:space="preserve">: </w:t>
          </w:r>
          <w:r>
            <w:rPr>
              <w:rFonts w:asciiTheme="minorBidi" w:hAnsiTheme="minorBidi"/>
            </w:rPr>
            <w:fldChar w:fldCharType="begin"/>
          </w:r>
          <w:r>
            <w:rPr>
              <w:rFonts w:asciiTheme="minorBidi" w:hAnsiTheme="minorBidi"/>
            </w:rPr>
            <w:instrText xml:space="preserve"> PAGE   \* MERGEFORMAT </w:instrText>
          </w:r>
          <w:r>
            <w:rPr>
              <w:rFonts w:asciiTheme="minorBidi" w:hAnsiTheme="minorBidi"/>
            </w:rPr>
            <w:fldChar w:fldCharType="separate"/>
          </w:r>
          <w:r w:rsidR="00F250DF">
            <w:rPr>
              <w:rFonts w:asciiTheme="minorBidi" w:hAnsiTheme="minorBidi"/>
              <w:noProof/>
            </w:rPr>
            <w:t>1</w:t>
          </w:r>
          <w:r>
            <w:rPr>
              <w:rFonts w:asciiTheme="minorBidi" w:hAnsiTheme="minorBidi"/>
            </w:rPr>
            <w:fldChar w:fldCharType="end"/>
          </w:r>
          <w:r>
            <w:rPr>
              <w:rFonts w:asciiTheme="minorBidi" w:hAnsiTheme="minorBidi"/>
            </w:rPr>
            <w:t>/</w:t>
          </w:r>
          <w:r>
            <w:rPr>
              <w:rFonts w:asciiTheme="minorBidi" w:hAnsiTheme="minorBidi"/>
            </w:rPr>
            <w:fldChar w:fldCharType="begin"/>
          </w:r>
          <w:r>
            <w:rPr>
              <w:rFonts w:asciiTheme="minorBidi" w:hAnsiTheme="minorBidi"/>
            </w:rPr>
            <w:instrText xml:space="preserve"> NUMPAGES   \* MERGEFORMAT </w:instrText>
          </w:r>
          <w:r>
            <w:rPr>
              <w:rFonts w:asciiTheme="minorBidi" w:hAnsiTheme="minorBidi"/>
            </w:rPr>
            <w:fldChar w:fldCharType="separate"/>
          </w:r>
          <w:r w:rsidR="00F250DF">
            <w:rPr>
              <w:rFonts w:asciiTheme="minorBidi" w:hAnsiTheme="minorBidi"/>
              <w:noProof/>
            </w:rPr>
            <w:t>31</w:t>
          </w:r>
          <w:r>
            <w:rPr>
              <w:rFonts w:asciiTheme="minorBidi" w:hAnsiTheme="minorBidi"/>
            </w:rPr>
            <w:fldChar w:fldCharType="end"/>
          </w:r>
        </w:p>
      </w:tc>
    </w:tr>
  </w:tbl>
  <w:p w:rsidR="00974BC5" w:rsidRDefault="00974B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5F4EB18C"/>
    <w:lvl w:ilvl="0">
      <w:start w:val="1"/>
      <w:numFmt w:val="decimal"/>
      <w:lvlText w:val="%1"/>
      <w:lvlJc w:val="left"/>
      <w:pPr>
        <w:ind w:left="432" w:hanging="432"/>
      </w:pPr>
      <w:rPr>
        <w:rFonts w:ascii="Arial" w:hAnsi="Arial" w:cs="Arial" w:hint="default"/>
      </w:rPr>
    </w:lvl>
    <w:lvl w:ilvl="1">
      <w:start w:val="1"/>
      <w:numFmt w:val="decimal"/>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cs="Arial" w:hint="default"/>
      </w:rPr>
    </w:lvl>
    <w:lvl w:ilvl="3">
      <w:start w:val="1"/>
      <w:numFmt w:val="decimal"/>
      <w:pStyle w:val="Heading4"/>
      <w:lvlText w:val="%1.%2.%3.%4"/>
      <w:lvlJc w:val="left"/>
      <w:pPr>
        <w:ind w:left="864" w:hanging="86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05A3983"/>
    <w:multiLevelType w:val="hybridMultilevel"/>
    <w:tmpl w:val="87509BB0"/>
    <w:lvl w:ilvl="0" w:tplc="35AECDE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
    <w:nsid w:val="06D5400B"/>
    <w:multiLevelType w:val="hybridMultilevel"/>
    <w:tmpl w:val="54A257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E0517F7"/>
    <w:multiLevelType w:val="hybridMultilevel"/>
    <w:tmpl w:val="15384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ED250B"/>
    <w:multiLevelType w:val="hybridMultilevel"/>
    <w:tmpl w:val="7C9E1B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7833A57"/>
    <w:multiLevelType w:val="hybridMultilevel"/>
    <w:tmpl w:val="BFACABD0"/>
    <w:lvl w:ilvl="0" w:tplc="10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A0C63CA"/>
    <w:multiLevelType w:val="hybridMultilevel"/>
    <w:tmpl w:val="18388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0993789"/>
    <w:multiLevelType w:val="hybridMultilevel"/>
    <w:tmpl w:val="801647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23F111CB"/>
    <w:multiLevelType w:val="hybridMultilevel"/>
    <w:tmpl w:val="6DFCE7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318F7E3E"/>
    <w:multiLevelType w:val="hybridMultilevel"/>
    <w:tmpl w:val="AEA0C4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364D74D6"/>
    <w:multiLevelType w:val="multilevel"/>
    <w:tmpl w:val="EDE4077A"/>
    <w:lvl w:ilvl="0">
      <w:start w:val="1"/>
      <w:numFmt w:val="decimal"/>
      <w:pStyle w:val="Heading1"/>
      <w:lvlText w:val="%1"/>
      <w:lvlJc w:val="left"/>
      <w:pPr>
        <w:tabs>
          <w:tab w:val="num" w:pos="360"/>
        </w:tabs>
        <w:ind w:left="340" w:hanging="340"/>
      </w:pPr>
      <w:rPr>
        <w:rFonts w:hint="default"/>
      </w:rPr>
    </w:lvl>
    <w:lvl w:ilvl="1">
      <w:start w:val="1"/>
      <w:numFmt w:val="decimal"/>
      <w:pStyle w:val="Heading2"/>
      <w:lvlText w:val="%1.%2"/>
      <w:lvlJc w:val="left"/>
      <w:pPr>
        <w:tabs>
          <w:tab w:val="num" w:pos="680"/>
        </w:tabs>
        <w:ind w:left="680" w:hanging="68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
      <w:lvlJc w:val="left"/>
      <w:pPr>
        <w:tabs>
          <w:tab w:val="num" w:pos="1145"/>
        </w:tabs>
        <w:ind w:left="1145"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nsid w:val="3D07677B"/>
    <w:multiLevelType w:val="hybridMultilevel"/>
    <w:tmpl w:val="46024A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3DA230B5"/>
    <w:multiLevelType w:val="hybridMultilevel"/>
    <w:tmpl w:val="B0BEF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3FA7E47"/>
    <w:multiLevelType w:val="hybridMultilevel"/>
    <w:tmpl w:val="9614E35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nsid w:val="44B05ACB"/>
    <w:multiLevelType w:val="multilevel"/>
    <w:tmpl w:val="8114731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458E0FB4"/>
    <w:multiLevelType w:val="hybridMultilevel"/>
    <w:tmpl w:val="58120268"/>
    <w:lvl w:ilvl="0" w:tplc="6354E88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473B6EB5"/>
    <w:multiLevelType w:val="hybridMultilevel"/>
    <w:tmpl w:val="D2A477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527C2DA3"/>
    <w:multiLevelType w:val="hybridMultilevel"/>
    <w:tmpl w:val="F328DA8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nsid w:val="5B7A246E"/>
    <w:multiLevelType w:val="hybridMultilevel"/>
    <w:tmpl w:val="97AAC4DE"/>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9">
    <w:nsid w:val="5BA63686"/>
    <w:multiLevelType w:val="hybridMultilevel"/>
    <w:tmpl w:val="AABA1B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64C77B44"/>
    <w:multiLevelType w:val="hybridMultilevel"/>
    <w:tmpl w:val="5644C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D0D5713"/>
    <w:multiLevelType w:val="hybridMultilevel"/>
    <w:tmpl w:val="556C843C"/>
    <w:lvl w:ilvl="0" w:tplc="6354E88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6F210C41"/>
    <w:multiLevelType w:val="hybridMultilevel"/>
    <w:tmpl w:val="73F4B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67531AF"/>
    <w:multiLevelType w:val="hybridMultilevel"/>
    <w:tmpl w:val="A9083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6"/>
  </w:num>
  <w:num w:numId="5">
    <w:abstractNumId w:val="18"/>
  </w:num>
  <w:num w:numId="6">
    <w:abstractNumId w:val="17"/>
  </w:num>
  <w:num w:numId="7">
    <w:abstractNumId w:val="13"/>
  </w:num>
  <w:num w:numId="8">
    <w:abstractNumId w:val="10"/>
  </w:num>
  <w:num w:numId="9">
    <w:abstractNumId w:val="22"/>
  </w:num>
  <w:num w:numId="10">
    <w:abstractNumId w:val="23"/>
  </w:num>
  <w:num w:numId="11">
    <w:abstractNumId w:val="6"/>
  </w:num>
  <w:num w:numId="12">
    <w:abstractNumId w:val="20"/>
  </w:num>
  <w:num w:numId="13">
    <w:abstractNumId w:val="12"/>
  </w:num>
  <w:num w:numId="14">
    <w:abstractNumId w:val="8"/>
  </w:num>
  <w:num w:numId="15">
    <w:abstractNumId w:val="4"/>
  </w:num>
  <w:num w:numId="16">
    <w:abstractNumId w:val="11"/>
  </w:num>
  <w:num w:numId="17">
    <w:abstractNumId w:val="1"/>
  </w:num>
  <w:num w:numId="18">
    <w:abstractNumId w:val="19"/>
  </w:num>
  <w:num w:numId="19">
    <w:abstractNumId w:val="9"/>
  </w:num>
  <w:num w:numId="20">
    <w:abstractNumId w:val="3"/>
  </w:num>
  <w:num w:numId="21">
    <w:abstractNumId w:val="14"/>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5"/>
  </w:num>
  <w:num w:numId="26">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F27"/>
    <w:rsid w:val="001523C9"/>
    <w:rsid w:val="001F7F48"/>
    <w:rsid w:val="00283F31"/>
    <w:rsid w:val="0034267F"/>
    <w:rsid w:val="003B7162"/>
    <w:rsid w:val="003F3FB0"/>
    <w:rsid w:val="00435E32"/>
    <w:rsid w:val="004713F2"/>
    <w:rsid w:val="006049D4"/>
    <w:rsid w:val="00730BE5"/>
    <w:rsid w:val="0085017C"/>
    <w:rsid w:val="00974BC5"/>
    <w:rsid w:val="009C5F27"/>
    <w:rsid w:val="00AE3BB5"/>
    <w:rsid w:val="00B56235"/>
    <w:rsid w:val="00BD4BB9"/>
    <w:rsid w:val="00D16B5E"/>
    <w:rsid w:val="00D83365"/>
    <w:rsid w:val="00F250DF"/>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autoRedefine/>
    <w:uiPriority w:val="9"/>
    <w:qFormat/>
    <w:pPr>
      <w:keepNext/>
      <w:numPr>
        <w:numId w:val="8"/>
      </w:numPr>
      <w:spacing w:before="240" w:after="120"/>
      <w:outlineLvl w:val="0"/>
    </w:pPr>
    <w:rPr>
      <w:rFonts w:ascii="Arial Bold" w:hAnsi="Arial Bold" w:cs="Arial"/>
      <w:bCs/>
      <w:caps/>
      <w:kern w:val="28"/>
      <w:sz w:val="28"/>
      <w:szCs w:val="28"/>
    </w:rPr>
  </w:style>
  <w:style w:type="paragraph" w:styleId="Heading2">
    <w:name w:val="heading 2"/>
    <w:basedOn w:val="Normal"/>
    <w:next w:val="Normal"/>
    <w:uiPriority w:val="9"/>
    <w:qFormat/>
    <w:pPr>
      <w:keepNext/>
      <w:numPr>
        <w:ilvl w:val="1"/>
        <w:numId w:val="8"/>
      </w:numPr>
      <w:spacing w:before="240" w:after="60"/>
      <w:outlineLvl w:val="1"/>
    </w:pPr>
    <w:rPr>
      <w:b/>
      <w:sz w:val="24"/>
    </w:rPr>
  </w:style>
  <w:style w:type="paragraph" w:styleId="Heading3">
    <w:name w:val="heading 3"/>
    <w:basedOn w:val="Normal"/>
    <w:next w:val="Normal"/>
    <w:qFormat/>
    <w:pPr>
      <w:keepNext/>
      <w:numPr>
        <w:ilvl w:val="2"/>
        <w:numId w:val="8"/>
      </w:numPr>
      <w:tabs>
        <w:tab w:val="clear" w:pos="1145"/>
        <w:tab w:val="num" w:pos="720"/>
      </w:tabs>
      <w:spacing w:before="240" w:after="60"/>
      <w:ind w:left="720"/>
      <w:outlineLvl w:val="2"/>
    </w:pPr>
    <w:rPr>
      <w:b/>
      <w:sz w:val="24"/>
    </w:rPr>
  </w:style>
  <w:style w:type="paragraph" w:styleId="Heading4">
    <w:name w:val="heading 4"/>
    <w:basedOn w:val="Normal"/>
    <w:next w:val="Normal"/>
    <w:qFormat/>
    <w:pPr>
      <w:keepNext/>
      <w:numPr>
        <w:ilvl w:val="3"/>
        <w:numId w:val="1"/>
      </w:numPr>
      <w:spacing w:before="240" w:after="60"/>
      <w:outlineLvl w:val="3"/>
    </w:pPr>
    <w:rPr>
      <w:b/>
      <w:sz w:val="24"/>
    </w:rPr>
  </w:style>
  <w:style w:type="paragraph" w:styleId="Heading5">
    <w:name w:val="heading 5"/>
    <w:basedOn w:val="Normal"/>
    <w:next w:val="Normal"/>
    <w:qFormat/>
    <w:pPr>
      <w:numPr>
        <w:ilvl w:val="4"/>
        <w:numId w:val="8"/>
      </w:numPr>
      <w:spacing w:before="240" w:after="60"/>
      <w:outlineLvl w:val="4"/>
    </w:pPr>
    <w:rPr>
      <w:sz w:val="22"/>
    </w:rPr>
  </w:style>
  <w:style w:type="paragraph" w:styleId="Heading6">
    <w:name w:val="heading 6"/>
    <w:basedOn w:val="Normal"/>
    <w:next w:val="Normal"/>
    <w:qFormat/>
    <w:pPr>
      <w:numPr>
        <w:ilvl w:val="5"/>
        <w:numId w:val="8"/>
      </w:numPr>
      <w:spacing w:before="240" w:after="60"/>
      <w:outlineLvl w:val="5"/>
    </w:pPr>
    <w:rPr>
      <w:i/>
      <w:sz w:val="22"/>
    </w:rPr>
  </w:style>
  <w:style w:type="paragraph" w:styleId="Heading7">
    <w:name w:val="heading 7"/>
    <w:basedOn w:val="Normal"/>
    <w:next w:val="Normal"/>
    <w:qFormat/>
    <w:pPr>
      <w:numPr>
        <w:ilvl w:val="6"/>
        <w:numId w:val="8"/>
      </w:numPr>
      <w:spacing w:before="240" w:after="60"/>
      <w:outlineLvl w:val="6"/>
    </w:pPr>
  </w:style>
  <w:style w:type="paragraph" w:styleId="Heading8">
    <w:name w:val="heading 8"/>
    <w:basedOn w:val="Normal"/>
    <w:next w:val="Normal"/>
    <w:qFormat/>
    <w:pPr>
      <w:numPr>
        <w:ilvl w:val="7"/>
        <w:numId w:val="8"/>
      </w:numPr>
      <w:spacing w:before="240" w:after="60"/>
      <w:outlineLvl w:val="7"/>
    </w:pPr>
    <w:rPr>
      <w:i/>
    </w:rPr>
  </w:style>
  <w:style w:type="paragraph" w:styleId="Heading9">
    <w:name w:val="heading 9"/>
    <w:basedOn w:val="Normal"/>
    <w:next w:val="Normal"/>
    <w:qFormat/>
    <w:pPr>
      <w:numPr>
        <w:ilvl w:val="8"/>
        <w:numId w:val="8"/>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819"/>
        <w:tab w:val="right" w:pos="9071"/>
      </w:tabs>
    </w:pPr>
  </w:style>
  <w:style w:type="paragraph" w:styleId="Header">
    <w:name w:val="header"/>
    <w:basedOn w:val="Normal"/>
    <w:pPr>
      <w:tabs>
        <w:tab w:val="center" w:pos="4819"/>
        <w:tab w:val="right" w:pos="9071"/>
      </w:tabs>
    </w:pPr>
  </w:style>
  <w:style w:type="paragraph" w:styleId="BodyText">
    <w:name w:val="Body Text"/>
    <w:basedOn w:val="Normal"/>
    <w:pPr>
      <w:jc w:val="both"/>
    </w:pPr>
    <w:rPr>
      <w:sz w:val="22"/>
    </w:rPr>
  </w:style>
  <w:style w:type="paragraph" w:customStyle="1" w:styleId="Ident1">
    <w:name w:val="Ident1"/>
    <w:basedOn w:val="Normal"/>
    <w:pPr>
      <w:tabs>
        <w:tab w:val="left" w:pos="2552"/>
      </w:tabs>
      <w:spacing w:after="120"/>
      <w:ind w:left="2552" w:hanging="2552"/>
      <w:jc w:val="both"/>
    </w:pPr>
  </w:style>
  <w:style w:type="character" w:styleId="Strong">
    <w:name w:val="Strong"/>
    <w:uiPriority w:val="22"/>
    <w:qFormat/>
    <w:rPr>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Pr>
      <w:caps/>
    </w:rPr>
  </w:style>
  <w:style w:type="paragraph" w:styleId="TOC2">
    <w:name w:val="toc 2"/>
    <w:basedOn w:val="Normal"/>
    <w:next w:val="Normal"/>
    <w:autoRedefine/>
    <w:uiPriority w:val="39"/>
    <w:pPr>
      <w:ind w:left="200"/>
    </w:pPr>
  </w:style>
  <w:style w:type="character" w:styleId="Hyperlink">
    <w:name w:val="Hyperlink"/>
    <w:uiPriority w:val="99"/>
    <w:unhideWhenUsed/>
    <w:rPr>
      <w:color w:val="0000FF"/>
      <w:u w:val="single"/>
    </w:rPr>
  </w:style>
  <w:style w:type="paragraph" w:styleId="ListParagraph">
    <w:name w:val="List Paragraph"/>
    <w:basedOn w:val="Normal"/>
    <w:link w:val="ListParagraphChar"/>
    <w:uiPriority w:val="34"/>
    <w:qFormat/>
    <w:pPr>
      <w:spacing w:after="120"/>
      <w:ind w:left="720"/>
      <w:contextualSpacing/>
    </w:pPr>
    <w:rPr>
      <w:rFonts w:eastAsia="Calibri"/>
      <w:sz w:val="22"/>
      <w:szCs w:val="22"/>
      <w:lang w:eastAsia="en-US"/>
    </w:rPr>
  </w:style>
  <w:style w:type="paragraph" w:styleId="Caption">
    <w:name w:val="caption"/>
    <w:basedOn w:val="Normal"/>
    <w:next w:val="Normal"/>
    <w:qFormat/>
    <w:pPr>
      <w:tabs>
        <w:tab w:val="left" w:pos="1276"/>
      </w:tabs>
      <w:spacing w:before="120" w:after="240"/>
      <w:ind w:left="992" w:hanging="992"/>
      <w:jc w:val="center"/>
    </w:pPr>
    <w:rPr>
      <w:rFonts w:eastAsia="Calibri"/>
      <w:b/>
      <w:bCs/>
      <w:sz w:val="22"/>
      <w:szCs w:val="18"/>
      <w:lang w:eastAsia="en-US"/>
    </w:rPr>
  </w:style>
  <w:style w:type="paragraph" w:styleId="TableofFigures">
    <w:name w:val="table of figures"/>
    <w:basedOn w:val="Normal"/>
    <w:next w:val="Normal"/>
    <w:uiPriority w:val="99"/>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val="bg-BG"/>
    </w:rPr>
  </w:style>
  <w:style w:type="paragraph" w:customStyle="1" w:styleId="HeaderandFooter">
    <w:name w:val="Header and Footer"/>
    <w:basedOn w:val="NoSpacing"/>
    <w:link w:val="HeaderandFooterChar"/>
    <w:uiPriority w:val="34"/>
    <w:qFormat/>
    <w:pPr>
      <w:jc w:val="both"/>
    </w:pPr>
    <w:rPr>
      <w:rFonts w:asciiTheme="minorHAnsi" w:eastAsiaTheme="minorEastAsia" w:hAnsiTheme="minorHAnsi" w:cstheme="minorBidi"/>
      <w:sz w:val="16"/>
      <w:szCs w:val="22"/>
      <w:lang w:eastAsia="en-US" w:bidi="en-US"/>
    </w:rPr>
  </w:style>
  <w:style w:type="character" w:customStyle="1" w:styleId="HeaderandFooterChar">
    <w:name w:val="Header and Footer Char"/>
    <w:basedOn w:val="DefaultParagraphFont"/>
    <w:link w:val="HeaderandFooter"/>
    <w:uiPriority w:val="34"/>
    <w:rPr>
      <w:rFonts w:asciiTheme="minorHAnsi" w:eastAsiaTheme="minorEastAsia" w:hAnsiTheme="minorHAnsi" w:cstheme="minorBidi"/>
      <w:sz w:val="16"/>
      <w:szCs w:val="22"/>
      <w:lang w:eastAsia="en-US" w:bidi="en-US"/>
    </w:rPr>
  </w:style>
  <w:style w:type="character" w:styleId="Emphasis">
    <w:name w:val="Emphasis"/>
    <w:basedOn w:val="DefaultParagraphFont"/>
    <w:uiPriority w:val="20"/>
    <w:qFormat/>
    <w:rPr>
      <w:i/>
      <w:iCs/>
    </w:rPr>
  </w:style>
  <w:style w:type="paragraph" w:styleId="NoSpacing">
    <w:name w:val="No Spacing"/>
    <w:link w:val="NoSpacingChar"/>
    <w:uiPriority w:val="1"/>
    <w:qFormat/>
  </w:style>
  <w:style w:type="character" w:customStyle="1" w:styleId="NoSpacingChar">
    <w:name w:val="No Spacing Char"/>
    <w:basedOn w:val="DefaultParagraphFont"/>
    <w:link w:val="NoSpacing"/>
    <w:uiPriority w:val="1"/>
    <w:rPr>
      <w:lang w:val="bg-BG"/>
    </w:rPr>
  </w:style>
  <w:style w:type="paragraph" w:customStyle="1" w:styleId="InfoBlue">
    <w:name w:val="InfoBlue"/>
    <w:basedOn w:val="Normal"/>
    <w:next w:val="BodyText"/>
    <w:autoRedefine/>
    <w:pPr>
      <w:widowControl w:val="0"/>
      <w:spacing w:before="120" w:after="120" w:line="240" w:lineRule="atLeast"/>
      <w:ind w:left="426"/>
    </w:pPr>
    <w:rPr>
      <w:i/>
      <w:color w:val="0000FF"/>
      <w:lang w:eastAsia="en-US"/>
    </w:rPr>
  </w:style>
  <w:style w:type="paragraph" w:customStyle="1" w:styleId="TableText">
    <w:name w:val="Table Text"/>
    <w:basedOn w:val="Normal"/>
    <w:pPr>
      <w:ind w:left="14"/>
    </w:pPr>
    <w:rPr>
      <w:spacing w:val="-5"/>
      <w:sz w:val="16"/>
      <w:lang w:eastAsia="en-US"/>
    </w:rPr>
  </w:style>
  <w:style w:type="paragraph" w:customStyle="1" w:styleId="StyleTableHeader10pt">
    <w:name w:val="Style Table Header + 10 pt"/>
    <w:basedOn w:val="Normal"/>
    <w:pPr>
      <w:spacing w:before="60"/>
      <w:jc w:val="center"/>
    </w:pPr>
    <w:rPr>
      <w:b/>
      <w:bCs/>
      <w:spacing w:val="-5"/>
      <w:lang w:eastAsia="en-US"/>
    </w:rPr>
  </w:style>
  <w:style w:type="table" w:customStyle="1" w:styleId="ProjectStatusReport">
    <w:name w:val="ProjectStatusReport"/>
    <w:basedOn w:val="TableNormal"/>
    <w:rPr>
      <w:rFonts w:ascii="Arial" w:hAnsi="Arial"/>
    </w:rPr>
    <w:tblPr>
      <w:tblStyleRowBandSize w:val="1"/>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43" w:type="dxa"/>
        <w:left w:w="115" w:type="dxa"/>
        <w:bottom w:w="43" w:type="dxa"/>
        <w:right w:w="115" w:type="dxa"/>
      </w:tcMar>
      <w:vAlign w:val="bottom"/>
    </w:tcPr>
    <w:tblStylePr w:type="firstRow">
      <w:rPr>
        <w:rFonts w:ascii="Arial" w:hAnsi="Arial"/>
        <w:b/>
        <w:sz w:val="20"/>
      </w:rPr>
      <w:tblPr/>
      <w:tcPr>
        <w:shd w:val="clear" w:color="auto" w:fill="D9D9D9"/>
      </w:tcPr>
    </w:tblStylePr>
    <w:tblStylePr w:type="band1Horz">
      <w:rPr>
        <w:rFonts w:ascii="Arial" w:hAnsi="Arial"/>
        <w:sz w:val="20"/>
      </w:rPr>
    </w:tblStylePr>
    <w:tblStylePr w:type="band2Horz">
      <w:rPr>
        <w:rFonts w:ascii="Arial" w:hAnsi="Arial"/>
        <w:sz w:val="20"/>
      </w:rPr>
    </w:tblStylePr>
  </w:style>
  <w:style w:type="character" w:customStyle="1" w:styleId="StyleTimesNewRomanItalicBlue">
    <w:name w:val="Style Times New Roman Italic Blue"/>
    <w:basedOn w:val="DefaultParagraphFont"/>
    <w:rPr>
      <w:rFonts w:ascii="Arial" w:hAnsi="Arial"/>
      <w:i/>
      <w:iCs/>
      <w:color w:val="0000FF"/>
    </w:rPr>
  </w:style>
  <w:style w:type="paragraph" w:customStyle="1" w:styleId="StyleStyleTableHeader10ptTimesNewRomanNotBoldItali">
    <w:name w:val="Style Style Table Header + 10 pt + Times New Roman Not Bold Itali..."/>
    <w:basedOn w:val="StyleTableHeader10pt"/>
    <w:pPr>
      <w:spacing w:before="20" w:after="60"/>
      <w:jc w:val="left"/>
    </w:pPr>
    <w:rPr>
      <w:b w:val="0"/>
      <w:bCs w:val="0"/>
      <w:i/>
      <w:iCs/>
      <w:color w:val="0000FF"/>
    </w:rPr>
  </w:style>
  <w:style w:type="paragraph" w:customStyle="1" w:styleId="Normal-Courier10">
    <w:name w:val="Normal - Courier 10"/>
    <w:basedOn w:val="Normal"/>
    <w:qFormat/>
    <w:pPr>
      <w:jc w:val="both"/>
    </w:pPr>
    <w:rPr>
      <w:rFonts w:ascii="Courier" w:hAnsi="Courier" w:cs="Arial"/>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rPr>
      <w:rFonts w:ascii="Arial" w:hAnsi="Arial"/>
      <w:lang w:val="bg-BG"/>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Arial" w:hAnsi="Arial"/>
      <w:b/>
      <w:bCs/>
      <w:lang w:val="bg-BG"/>
    </w:rPr>
  </w:style>
  <w:style w:type="character" w:customStyle="1" w:styleId="FooterChar">
    <w:name w:val="Footer Char"/>
    <w:basedOn w:val="DefaultParagraphFont"/>
    <w:link w:val="Footer"/>
    <w:rPr>
      <w:rFonts w:ascii="Arial" w:hAnsi="Arial"/>
      <w:lang w:val="bg-BG"/>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Pr>
      <w:rFonts w:ascii="Courier New" w:hAnsi="Courier New" w:cs="Courier New"/>
    </w:rPr>
  </w:style>
  <w:style w:type="character" w:customStyle="1" w:styleId="ListParagraphChar">
    <w:name w:val="List Paragraph Char"/>
    <w:basedOn w:val="DefaultParagraphFont"/>
    <w:link w:val="ListParagraph"/>
    <w:uiPriority w:val="34"/>
    <w:rPr>
      <w:rFonts w:ascii="Arial" w:eastAsia="Calibri" w:hAnsi="Arial"/>
      <w:sz w:val="22"/>
      <w:szCs w:val="22"/>
      <w:lang w:eastAsia="en-US"/>
    </w:rPr>
  </w:style>
  <w:style w:type="character" w:styleId="FollowedHyperlink">
    <w:name w:val="FollowedHyperlink"/>
    <w:basedOn w:val="DefaultParagraphFont"/>
    <w:semiHidden/>
    <w:unhideWhenUsed/>
    <w:rsid w:val="00D16B5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autoRedefine/>
    <w:uiPriority w:val="9"/>
    <w:qFormat/>
    <w:pPr>
      <w:keepNext/>
      <w:numPr>
        <w:numId w:val="8"/>
      </w:numPr>
      <w:spacing w:before="240" w:after="120"/>
      <w:outlineLvl w:val="0"/>
    </w:pPr>
    <w:rPr>
      <w:rFonts w:ascii="Arial Bold" w:hAnsi="Arial Bold" w:cs="Arial"/>
      <w:bCs/>
      <w:caps/>
      <w:kern w:val="28"/>
      <w:sz w:val="28"/>
      <w:szCs w:val="28"/>
    </w:rPr>
  </w:style>
  <w:style w:type="paragraph" w:styleId="Heading2">
    <w:name w:val="heading 2"/>
    <w:basedOn w:val="Normal"/>
    <w:next w:val="Normal"/>
    <w:uiPriority w:val="9"/>
    <w:qFormat/>
    <w:pPr>
      <w:keepNext/>
      <w:numPr>
        <w:ilvl w:val="1"/>
        <w:numId w:val="8"/>
      </w:numPr>
      <w:spacing w:before="240" w:after="60"/>
      <w:outlineLvl w:val="1"/>
    </w:pPr>
    <w:rPr>
      <w:b/>
      <w:sz w:val="24"/>
    </w:rPr>
  </w:style>
  <w:style w:type="paragraph" w:styleId="Heading3">
    <w:name w:val="heading 3"/>
    <w:basedOn w:val="Normal"/>
    <w:next w:val="Normal"/>
    <w:qFormat/>
    <w:pPr>
      <w:keepNext/>
      <w:numPr>
        <w:ilvl w:val="2"/>
        <w:numId w:val="8"/>
      </w:numPr>
      <w:tabs>
        <w:tab w:val="clear" w:pos="1145"/>
        <w:tab w:val="num" w:pos="720"/>
      </w:tabs>
      <w:spacing w:before="240" w:after="60"/>
      <w:ind w:left="720"/>
      <w:outlineLvl w:val="2"/>
    </w:pPr>
    <w:rPr>
      <w:b/>
      <w:sz w:val="24"/>
    </w:rPr>
  </w:style>
  <w:style w:type="paragraph" w:styleId="Heading4">
    <w:name w:val="heading 4"/>
    <w:basedOn w:val="Normal"/>
    <w:next w:val="Normal"/>
    <w:qFormat/>
    <w:pPr>
      <w:keepNext/>
      <w:numPr>
        <w:ilvl w:val="3"/>
        <w:numId w:val="1"/>
      </w:numPr>
      <w:spacing w:before="240" w:after="60"/>
      <w:outlineLvl w:val="3"/>
    </w:pPr>
    <w:rPr>
      <w:b/>
      <w:sz w:val="24"/>
    </w:rPr>
  </w:style>
  <w:style w:type="paragraph" w:styleId="Heading5">
    <w:name w:val="heading 5"/>
    <w:basedOn w:val="Normal"/>
    <w:next w:val="Normal"/>
    <w:qFormat/>
    <w:pPr>
      <w:numPr>
        <w:ilvl w:val="4"/>
        <w:numId w:val="8"/>
      </w:numPr>
      <w:spacing w:before="240" w:after="60"/>
      <w:outlineLvl w:val="4"/>
    </w:pPr>
    <w:rPr>
      <w:sz w:val="22"/>
    </w:rPr>
  </w:style>
  <w:style w:type="paragraph" w:styleId="Heading6">
    <w:name w:val="heading 6"/>
    <w:basedOn w:val="Normal"/>
    <w:next w:val="Normal"/>
    <w:qFormat/>
    <w:pPr>
      <w:numPr>
        <w:ilvl w:val="5"/>
        <w:numId w:val="8"/>
      </w:numPr>
      <w:spacing w:before="240" w:after="60"/>
      <w:outlineLvl w:val="5"/>
    </w:pPr>
    <w:rPr>
      <w:i/>
      <w:sz w:val="22"/>
    </w:rPr>
  </w:style>
  <w:style w:type="paragraph" w:styleId="Heading7">
    <w:name w:val="heading 7"/>
    <w:basedOn w:val="Normal"/>
    <w:next w:val="Normal"/>
    <w:qFormat/>
    <w:pPr>
      <w:numPr>
        <w:ilvl w:val="6"/>
        <w:numId w:val="8"/>
      </w:numPr>
      <w:spacing w:before="240" w:after="60"/>
      <w:outlineLvl w:val="6"/>
    </w:pPr>
  </w:style>
  <w:style w:type="paragraph" w:styleId="Heading8">
    <w:name w:val="heading 8"/>
    <w:basedOn w:val="Normal"/>
    <w:next w:val="Normal"/>
    <w:qFormat/>
    <w:pPr>
      <w:numPr>
        <w:ilvl w:val="7"/>
        <w:numId w:val="8"/>
      </w:numPr>
      <w:spacing w:before="240" w:after="60"/>
      <w:outlineLvl w:val="7"/>
    </w:pPr>
    <w:rPr>
      <w:i/>
    </w:rPr>
  </w:style>
  <w:style w:type="paragraph" w:styleId="Heading9">
    <w:name w:val="heading 9"/>
    <w:basedOn w:val="Normal"/>
    <w:next w:val="Normal"/>
    <w:qFormat/>
    <w:pPr>
      <w:numPr>
        <w:ilvl w:val="8"/>
        <w:numId w:val="8"/>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819"/>
        <w:tab w:val="right" w:pos="9071"/>
      </w:tabs>
    </w:pPr>
  </w:style>
  <w:style w:type="paragraph" w:styleId="Header">
    <w:name w:val="header"/>
    <w:basedOn w:val="Normal"/>
    <w:pPr>
      <w:tabs>
        <w:tab w:val="center" w:pos="4819"/>
        <w:tab w:val="right" w:pos="9071"/>
      </w:tabs>
    </w:pPr>
  </w:style>
  <w:style w:type="paragraph" w:styleId="BodyText">
    <w:name w:val="Body Text"/>
    <w:basedOn w:val="Normal"/>
    <w:pPr>
      <w:jc w:val="both"/>
    </w:pPr>
    <w:rPr>
      <w:sz w:val="22"/>
    </w:rPr>
  </w:style>
  <w:style w:type="paragraph" w:customStyle="1" w:styleId="Ident1">
    <w:name w:val="Ident1"/>
    <w:basedOn w:val="Normal"/>
    <w:pPr>
      <w:tabs>
        <w:tab w:val="left" w:pos="2552"/>
      </w:tabs>
      <w:spacing w:after="120"/>
      <w:ind w:left="2552" w:hanging="2552"/>
      <w:jc w:val="both"/>
    </w:pPr>
  </w:style>
  <w:style w:type="character" w:styleId="Strong">
    <w:name w:val="Strong"/>
    <w:uiPriority w:val="22"/>
    <w:qFormat/>
    <w:rPr>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Pr>
      <w:caps/>
    </w:rPr>
  </w:style>
  <w:style w:type="paragraph" w:styleId="TOC2">
    <w:name w:val="toc 2"/>
    <w:basedOn w:val="Normal"/>
    <w:next w:val="Normal"/>
    <w:autoRedefine/>
    <w:uiPriority w:val="39"/>
    <w:pPr>
      <w:ind w:left="200"/>
    </w:pPr>
  </w:style>
  <w:style w:type="character" w:styleId="Hyperlink">
    <w:name w:val="Hyperlink"/>
    <w:uiPriority w:val="99"/>
    <w:unhideWhenUsed/>
    <w:rPr>
      <w:color w:val="0000FF"/>
      <w:u w:val="single"/>
    </w:rPr>
  </w:style>
  <w:style w:type="paragraph" w:styleId="ListParagraph">
    <w:name w:val="List Paragraph"/>
    <w:basedOn w:val="Normal"/>
    <w:link w:val="ListParagraphChar"/>
    <w:uiPriority w:val="34"/>
    <w:qFormat/>
    <w:pPr>
      <w:spacing w:after="120"/>
      <w:ind w:left="720"/>
      <w:contextualSpacing/>
    </w:pPr>
    <w:rPr>
      <w:rFonts w:eastAsia="Calibri"/>
      <w:sz w:val="22"/>
      <w:szCs w:val="22"/>
      <w:lang w:eastAsia="en-US"/>
    </w:rPr>
  </w:style>
  <w:style w:type="paragraph" w:styleId="Caption">
    <w:name w:val="caption"/>
    <w:basedOn w:val="Normal"/>
    <w:next w:val="Normal"/>
    <w:qFormat/>
    <w:pPr>
      <w:tabs>
        <w:tab w:val="left" w:pos="1276"/>
      </w:tabs>
      <w:spacing w:before="120" w:after="240"/>
      <w:ind w:left="992" w:hanging="992"/>
      <w:jc w:val="center"/>
    </w:pPr>
    <w:rPr>
      <w:rFonts w:eastAsia="Calibri"/>
      <w:b/>
      <w:bCs/>
      <w:sz w:val="22"/>
      <w:szCs w:val="18"/>
      <w:lang w:eastAsia="en-US"/>
    </w:rPr>
  </w:style>
  <w:style w:type="paragraph" w:styleId="TableofFigures">
    <w:name w:val="table of figures"/>
    <w:basedOn w:val="Normal"/>
    <w:next w:val="Normal"/>
    <w:uiPriority w:val="99"/>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val="bg-BG"/>
    </w:rPr>
  </w:style>
  <w:style w:type="paragraph" w:customStyle="1" w:styleId="HeaderandFooter">
    <w:name w:val="Header and Footer"/>
    <w:basedOn w:val="NoSpacing"/>
    <w:link w:val="HeaderandFooterChar"/>
    <w:uiPriority w:val="34"/>
    <w:qFormat/>
    <w:pPr>
      <w:jc w:val="both"/>
    </w:pPr>
    <w:rPr>
      <w:rFonts w:asciiTheme="minorHAnsi" w:eastAsiaTheme="minorEastAsia" w:hAnsiTheme="minorHAnsi" w:cstheme="minorBidi"/>
      <w:sz w:val="16"/>
      <w:szCs w:val="22"/>
      <w:lang w:eastAsia="en-US" w:bidi="en-US"/>
    </w:rPr>
  </w:style>
  <w:style w:type="character" w:customStyle="1" w:styleId="HeaderandFooterChar">
    <w:name w:val="Header and Footer Char"/>
    <w:basedOn w:val="DefaultParagraphFont"/>
    <w:link w:val="HeaderandFooter"/>
    <w:uiPriority w:val="34"/>
    <w:rPr>
      <w:rFonts w:asciiTheme="minorHAnsi" w:eastAsiaTheme="minorEastAsia" w:hAnsiTheme="minorHAnsi" w:cstheme="minorBidi"/>
      <w:sz w:val="16"/>
      <w:szCs w:val="22"/>
      <w:lang w:eastAsia="en-US" w:bidi="en-US"/>
    </w:rPr>
  </w:style>
  <w:style w:type="character" w:styleId="Emphasis">
    <w:name w:val="Emphasis"/>
    <w:basedOn w:val="DefaultParagraphFont"/>
    <w:uiPriority w:val="20"/>
    <w:qFormat/>
    <w:rPr>
      <w:i/>
      <w:iCs/>
    </w:rPr>
  </w:style>
  <w:style w:type="paragraph" w:styleId="NoSpacing">
    <w:name w:val="No Spacing"/>
    <w:link w:val="NoSpacingChar"/>
    <w:uiPriority w:val="1"/>
    <w:qFormat/>
  </w:style>
  <w:style w:type="character" w:customStyle="1" w:styleId="NoSpacingChar">
    <w:name w:val="No Spacing Char"/>
    <w:basedOn w:val="DefaultParagraphFont"/>
    <w:link w:val="NoSpacing"/>
    <w:uiPriority w:val="1"/>
    <w:rPr>
      <w:lang w:val="bg-BG"/>
    </w:rPr>
  </w:style>
  <w:style w:type="paragraph" w:customStyle="1" w:styleId="InfoBlue">
    <w:name w:val="InfoBlue"/>
    <w:basedOn w:val="Normal"/>
    <w:next w:val="BodyText"/>
    <w:autoRedefine/>
    <w:pPr>
      <w:widowControl w:val="0"/>
      <w:spacing w:before="120" w:after="120" w:line="240" w:lineRule="atLeast"/>
      <w:ind w:left="426"/>
    </w:pPr>
    <w:rPr>
      <w:i/>
      <w:color w:val="0000FF"/>
      <w:lang w:eastAsia="en-US"/>
    </w:rPr>
  </w:style>
  <w:style w:type="paragraph" w:customStyle="1" w:styleId="TableText">
    <w:name w:val="Table Text"/>
    <w:basedOn w:val="Normal"/>
    <w:pPr>
      <w:ind w:left="14"/>
    </w:pPr>
    <w:rPr>
      <w:spacing w:val="-5"/>
      <w:sz w:val="16"/>
      <w:lang w:eastAsia="en-US"/>
    </w:rPr>
  </w:style>
  <w:style w:type="paragraph" w:customStyle="1" w:styleId="StyleTableHeader10pt">
    <w:name w:val="Style Table Header + 10 pt"/>
    <w:basedOn w:val="Normal"/>
    <w:pPr>
      <w:spacing w:before="60"/>
      <w:jc w:val="center"/>
    </w:pPr>
    <w:rPr>
      <w:b/>
      <w:bCs/>
      <w:spacing w:val="-5"/>
      <w:lang w:eastAsia="en-US"/>
    </w:rPr>
  </w:style>
  <w:style w:type="table" w:customStyle="1" w:styleId="ProjectStatusReport">
    <w:name w:val="ProjectStatusReport"/>
    <w:basedOn w:val="TableNormal"/>
    <w:rPr>
      <w:rFonts w:ascii="Arial" w:hAnsi="Arial"/>
    </w:rPr>
    <w:tblPr>
      <w:tblStyleRowBandSize w:val="1"/>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43" w:type="dxa"/>
        <w:left w:w="115" w:type="dxa"/>
        <w:bottom w:w="43" w:type="dxa"/>
        <w:right w:w="115" w:type="dxa"/>
      </w:tcMar>
      <w:vAlign w:val="bottom"/>
    </w:tcPr>
    <w:tblStylePr w:type="firstRow">
      <w:rPr>
        <w:rFonts w:ascii="Arial" w:hAnsi="Arial"/>
        <w:b/>
        <w:sz w:val="20"/>
      </w:rPr>
      <w:tblPr/>
      <w:tcPr>
        <w:shd w:val="clear" w:color="auto" w:fill="D9D9D9"/>
      </w:tcPr>
    </w:tblStylePr>
    <w:tblStylePr w:type="band1Horz">
      <w:rPr>
        <w:rFonts w:ascii="Arial" w:hAnsi="Arial"/>
        <w:sz w:val="20"/>
      </w:rPr>
    </w:tblStylePr>
    <w:tblStylePr w:type="band2Horz">
      <w:rPr>
        <w:rFonts w:ascii="Arial" w:hAnsi="Arial"/>
        <w:sz w:val="20"/>
      </w:rPr>
    </w:tblStylePr>
  </w:style>
  <w:style w:type="character" w:customStyle="1" w:styleId="StyleTimesNewRomanItalicBlue">
    <w:name w:val="Style Times New Roman Italic Blue"/>
    <w:basedOn w:val="DefaultParagraphFont"/>
    <w:rPr>
      <w:rFonts w:ascii="Arial" w:hAnsi="Arial"/>
      <w:i/>
      <w:iCs/>
      <w:color w:val="0000FF"/>
    </w:rPr>
  </w:style>
  <w:style w:type="paragraph" w:customStyle="1" w:styleId="StyleStyleTableHeader10ptTimesNewRomanNotBoldItali">
    <w:name w:val="Style Style Table Header + 10 pt + Times New Roman Not Bold Itali..."/>
    <w:basedOn w:val="StyleTableHeader10pt"/>
    <w:pPr>
      <w:spacing w:before="20" w:after="60"/>
      <w:jc w:val="left"/>
    </w:pPr>
    <w:rPr>
      <w:b w:val="0"/>
      <w:bCs w:val="0"/>
      <w:i/>
      <w:iCs/>
      <w:color w:val="0000FF"/>
    </w:rPr>
  </w:style>
  <w:style w:type="paragraph" w:customStyle="1" w:styleId="Normal-Courier10">
    <w:name w:val="Normal - Courier 10"/>
    <w:basedOn w:val="Normal"/>
    <w:qFormat/>
    <w:pPr>
      <w:jc w:val="both"/>
    </w:pPr>
    <w:rPr>
      <w:rFonts w:ascii="Courier" w:hAnsi="Courier" w:cs="Arial"/>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rPr>
      <w:rFonts w:ascii="Arial" w:hAnsi="Arial"/>
      <w:lang w:val="bg-BG"/>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Arial" w:hAnsi="Arial"/>
      <w:b/>
      <w:bCs/>
      <w:lang w:val="bg-BG"/>
    </w:rPr>
  </w:style>
  <w:style w:type="character" w:customStyle="1" w:styleId="FooterChar">
    <w:name w:val="Footer Char"/>
    <w:basedOn w:val="DefaultParagraphFont"/>
    <w:link w:val="Footer"/>
    <w:rPr>
      <w:rFonts w:ascii="Arial" w:hAnsi="Arial"/>
      <w:lang w:val="bg-BG"/>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Pr>
      <w:rFonts w:ascii="Courier New" w:hAnsi="Courier New" w:cs="Courier New"/>
    </w:rPr>
  </w:style>
  <w:style w:type="character" w:customStyle="1" w:styleId="ListParagraphChar">
    <w:name w:val="List Paragraph Char"/>
    <w:basedOn w:val="DefaultParagraphFont"/>
    <w:link w:val="ListParagraph"/>
    <w:uiPriority w:val="34"/>
    <w:rPr>
      <w:rFonts w:ascii="Arial" w:eastAsia="Calibri" w:hAnsi="Arial"/>
      <w:sz w:val="22"/>
      <w:szCs w:val="22"/>
      <w:lang w:eastAsia="en-US"/>
    </w:rPr>
  </w:style>
  <w:style w:type="character" w:styleId="FollowedHyperlink">
    <w:name w:val="FollowedHyperlink"/>
    <w:basedOn w:val="DefaultParagraphFont"/>
    <w:semiHidden/>
    <w:unhideWhenUsed/>
    <w:rsid w:val="00D16B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25897">
      <w:bodyDiv w:val="1"/>
      <w:marLeft w:val="0"/>
      <w:marRight w:val="0"/>
      <w:marTop w:val="0"/>
      <w:marBottom w:val="0"/>
      <w:divBdr>
        <w:top w:val="none" w:sz="0" w:space="0" w:color="auto"/>
        <w:left w:val="none" w:sz="0" w:space="0" w:color="auto"/>
        <w:bottom w:val="none" w:sz="0" w:space="0" w:color="auto"/>
        <w:right w:val="none" w:sz="0" w:space="0" w:color="auto"/>
      </w:divBdr>
    </w:div>
    <w:div w:id="1392996581">
      <w:bodyDiv w:val="1"/>
      <w:marLeft w:val="0"/>
      <w:marRight w:val="0"/>
      <w:marTop w:val="0"/>
      <w:marBottom w:val="0"/>
      <w:divBdr>
        <w:top w:val="none" w:sz="0" w:space="0" w:color="auto"/>
        <w:left w:val="none" w:sz="0" w:space="0" w:color="auto"/>
        <w:bottom w:val="none" w:sz="0" w:space="0" w:color="auto"/>
        <w:right w:val="none" w:sz="0" w:space="0" w:color="auto"/>
      </w:divBdr>
    </w:div>
    <w:div w:id="173638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eso.bg/esotst/" TargetMode="Externa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 Type="http://schemas.openxmlformats.org/officeDocument/2006/relationships/styles" Target="styles.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jpeg"/><Relationship Id="rId11" Type="http://schemas.openxmlformats.org/officeDocument/2006/relationships/footnotes" Target="footnotes.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webSettings" Target="webSettings.xml"/><Relationship Id="rId19" Type="http://schemas.openxmlformats.org/officeDocument/2006/relationships/image" Target="media/image6.jpeg"/><Relationship Id="rId31" Type="http://schemas.openxmlformats.org/officeDocument/2006/relationships/image" Target="media/image18.JP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header" Target="header1.xml"/><Relationship Id="rId8" Type="http://schemas.microsoft.com/office/2007/relationships/stylesWithEffects" Target="stylesWithEffects.xml"/><Relationship Id="rId51" Type="http://schemas.openxmlformats.org/officeDocument/2006/relationships/image" Target="media/image38.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image" Target="cid:image001.jpg@01CFD3F4.1123E600" TargetMode="External"/><Relationship Id="rId1" Type="http://schemas.openxmlformats.org/officeDocument/2006/relationships/image" Target="media/image56.jpeg"/></Relationships>
</file>

<file path=word/_rels/header2.xml.rels><?xml version="1.0" encoding="UTF-8" standalone="yes"?>
<Relationships xmlns="http://schemas.openxmlformats.org/package/2006/relationships"><Relationship Id="rId2" Type="http://schemas.openxmlformats.org/officeDocument/2006/relationships/image" Target="cid:image001.jpg@01CFD3F4.1123E600" TargetMode="External"/><Relationship Id="rId1" Type="http://schemas.openxmlformats.org/officeDocument/2006/relationships/image" Target="media/image5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KET\14001\KET\QP_14001\QP-4.5-002_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3AFAF671402A4B9A2832273A60BDBA" ma:contentTypeVersion="0" ma:contentTypeDescription="Create a new document." ma:contentTypeScope="" ma:versionID="dd25de1061178fb78bfeb0e74e033381">
  <xsd:schema xmlns:xsd="http://www.w3.org/2001/XMLSchema" xmlns:xs="http://www.w3.org/2001/XMLSchema" xmlns:p="http://schemas.microsoft.com/office/2006/metadata/properties" xmlns:ns2="3ced1c5d-d5bf-4822-a356-e7fb8d0e0505" targetNamespace="http://schemas.microsoft.com/office/2006/metadata/properties" ma:root="true" ma:fieldsID="afb96349f668e61083008c45d5e790d0" ns2:_="">
    <xsd:import namespace="3ced1c5d-d5bf-4822-a356-e7fb8d0e050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ed1c5d-d5bf-4822-a356-e7fb8d0e050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ced1c5d-d5bf-4822-a356-e7fb8d0e0505">TNPT2YJEMN73-28237228-8</_dlc_DocId>
    <_dlc_DocIdUrl xmlns="3ced1c5d-d5bf-4822-a356-e7fb8d0e0505">
      <Url>http://ket-portal/ket-intranet/sustaviupravljanja/_layouts/15/DocIdRedir.aspx?ID=TNPT2YJEMN73-28237228-8</Url>
      <Description>TNPT2YJEMN73-28237228-8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EF45C-3E31-4B16-BD2C-C5371394A479}">
  <ds:schemaRefs>
    <ds:schemaRef ds:uri="http://schemas.microsoft.com/sharepoint/v3/contenttype/forms"/>
  </ds:schemaRefs>
</ds:datastoreItem>
</file>

<file path=customXml/itemProps2.xml><?xml version="1.0" encoding="utf-8"?>
<ds:datastoreItem xmlns:ds="http://schemas.openxmlformats.org/officeDocument/2006/customXml" ds:itemID="{AF8C245A-A939-4EB9-A6F2-3BBE13D88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ed1c5d-d5bf-4822-a356-e7fb8d0e0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8C11A3-45BA-4B17-ACA4-1CA67BAA8470}">
  <ds:schemaRefs>
    <ds:schemaRef ds:uri="http://purl.org/dc/terms/"/>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3ced1c5d-d5bf-4822-a356-e7fb8d0e0505"/>
    <ds:schemaRef ds:uri="http://www.w3.org/XML/1998/namespace"/>
  </ds:schemaRefs>
</ds:datastoreItem>
</file>

<file path=customXml/itemProps4.xml><?xml version="1.0" encoding="utf-8"?>
<ds:datastoreItem xmlns:ds="http://schemas.openxmlformats.org/officeDocument/2006/customXml" ds:itemID="{FA5A41ED-8266-4CA3-B924-87CD94DD9FDF}">
  <ds:schemaRefs>
    <ds:schemaRef ds:uri="http://schemas.microsoft.com/sharepoint/events"/>
  </ds:schemaRefs>
</ds:datastoreItem>
</file>

<file path=customXml/itemProps5.xml><?xml version="1.0" encoding="utf-8"?>
<ds:datastoreItem xmlns:ds="http://schemas.openxmlformats.org/officeDocument/2006/customXml" ds:itemID="{ED6D2595-82D8-4CE1-A136-B892AFE24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QP-4.5-002_4.dot</Template>
  <TotalTime>8</TotalTime>
  <Pages>31</Pages>
  <Words>3505</Words>
  <Characters>21614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ISO-9000 template</vt:lpstr>
    </vt:vector>
  </TitlesOfParts>
  <Company>TEXEL</Company>
  <LinksUpToDate>false</LinksUpToDate>
  <CharactersWithSpaces>25069</CharactersWithSpaces>
  <SharedDoc>false</SharedDoc>
  <HLinks>
    <vt:vector size="72" baseType="variant">
      <vt:variant>
        <vt:i4>1441844</vt:i4>
      </vt:variant>
      <vt:variant>
        <vt:i4>71</vt:i4>
      </vt:variant>
      <vt:variant>
        <vt:i4>0</vt:i4>
      </vt:variant>
      <vt:variant>
        <vt:i4>5</vt:i4>
      </vt:variant>
      <vt:variant>
        <vt:lpwstr/>
      </vt:variant>
      <vt:variant>
        <vt:lpwstr>_Toc314565501</vt:lpwstr>
      </vt:variant>
      <vt:variant>
        <vt:i4>1441844</vt:i4>
      </vt:variant>
      <vt:variant>
        <vt:i4>65</vt:i4>
      </vt:variant>
      <vt:variant>
        <vt:i4>0</vt:i4>
      </vt:variant>
      <vt:variant>
        <vt:i4>5</vt:i4>
      </vt:variant>
      <vt:variant>
        <vt:lpwstr/>
      </vt:variant>
      <vt:variant>
        <vt:lpwstr>_Toc314565500</vt:lpwstr>
      </vt:variant>
      <vt:variant>
        <vt:i4>1310770</vt:i4>
      </vt:variant>
      <vt:variant>
        <vt:i4>56</vt:i4>
      </vt:variant>
      <vt:variant>
        <vt:i4>0</vt:i4>
      </vt:variant>
      <vt:variant>
        <vt:i4>5</vt:i4>
      </vt:variant>
      <vt:variant>
        <vt:lpwstr/>
      </vt:variant>
      <vt:variant>
        <vt:lpwstr>_Toc314565328</vt:lpwstr>
      </vt:variant>
      <vt:variant>
        <vt:i4>1310770</vt:i4>
      </vt:variant>
      <vt:variant>
        <vt:i4>50</vt:i4>
      </vt:variant>
      <vt:variant>
        <vt:i4>0</vt:i4>
      </vt:variant>
      <vt:variant>
        <vt:i4>5</vt:i4>
      </vt:variant>
      <vt:variant>
        <vt:lpwstr/>
      </vt:variant>
      <vt:variant>
        <vt:lpwstr>_Toc314565327</vt:lpwstr>
      </vt:variant>
      <vt:variant>
        <vt:i4>1310770</vt:i4>
      </vt:variant>
      <vt:variant>
        <vt:i4>44</vt:i4>
      </vt:variant>
      <vt:variant>
        <vt:i4>0</vt:i4>
      </vt:variant>
      <vt:variant>
        <vt:i4>5</vt:i4>
      </vt:variant>
      <vt:variant>
        <vt:lpwstr/>
      </vt:variant>
      <vt:variant>
        <vt:lpwstr>_Toc314565326</vt:lpwstr>
      </vt:variant>
      <vt:variant>
        <vt:i4>1310770</vt:i4>
      </vt:variant>
      <vt:variant>
        <vt:i4>38</vt:i4>
      </vt:variant>
      <vt:variant>
        <vt:i4>0</vt:i4>
      </vt:variant>
      <vt:variant>
        <vt:i4>5</vt:i4>
      </vt:variant>
      <vt:variant>
        <vt:lpwstr/>
      </vt:variant>
      <vt:variant>
        <vt:lpwstr>_Toc314565325</vt:lpwstr>
      </vt:variant>
      <vt:variant>
        <vt:i4>1507378</vt:i4>
      </vt:variant>
      <vt:variant>
        <vt:i4>32</vt:i4>
      </vt:variant>
      <vt:variant>
        <vt:i4>0</vt:i4>
      </vt:variant>
      <vt:variant>
        <vt:i4>5</vt:i4>
      </vt:variant>
      <vt:variant>
        <vt:lpwstr/>
      </vt:variant>
      <vt:variant>
        <vt:lpwstr>_Toc314565318</vt:lpwstr>
      </vt:variant>
      <vt:variant>
        <vt:i4>1507378</vt:i4>
      </vt:variant>
      <vt:variant>
        <vt:i4>26</vt:i4>
      </vt:variant>
      <vt:variant>
        <vt:i4>0</vt:i4>
      </vt:variant>
      <vt:variant>
        <vt:i4>5</vt:i4>
      </vt:variant>
      <vt:variant>
        <vt:lpwstr/>
      </vt:variant>
      <vt:variant>
        <vt:lpwstr>_Toc314565317</vt:lpwstr>
      </vt:variant>
      <vt:variant>
        <vt:i4>1507378</vt:i4>
      </vt:variant>
      <vt:variant>
        <vt:i4>20</vt:i4>
      </vt:variant>
      <vt:variant>
        <vt:i4>0</vt:i4>
      </vt:variant>
      <vt:variant>
        <vt:i4>5</vt:i4>
      </vt:variant>
      <vt:variant>
        <vt:lpwstr/>
      </vt:variant>
      <vt:variant>
        <vt:lpwstr>_Toc314565316</vt:lpwstr>
      </vt:variant>
      <vt:variant>
        <vt:i4>1507378</vt:i4>
      </vt:variant>
      <vt:variant>
        <vt:i4>14</vt:i4>
      </vt:variant>
      <vt:variant>
        <vt:i4>0</vt:i4>
      </vt:variant>
      <vt:variant>
        <vt:i4>5</vt:i4>
      </vt:variant>
      <vt:variant>
        <vt:lpwstr/>
      </vt:variant>
      <vt:variant>
        <vt:lpwstr>_Toc314565315</vt:lpwstr>
      </vt:variant>
      <vt:variant>
        <vt:i4>1507378</vt:i4>
      </vt:variant>
      <vt:variant>
        <vt:i4>8</vt:i4>
      </vt:variant>
      <vt:variant>
        <vt:i4>0</vt:i4>
      </vt:variant>
      <vt:variant>
        <vt:i4>5</vt:i4>
      </vt:variant>
      <vt:variant>
        <vt:lpwstr/>
      </vt:variant>
      <vt:variant>
        <vt:lpwstr>_Toc314565314</vt:lpwstr>
      </vt:variant>
      <vt:variant>
        <vt:i4>1507378</vt:i4>
      </vt:variant>
      <vt:variant>
        <vt:i4>2</vt:i4>
      </vt:variant>
      <vt:variant>
        <vt:i4>0</vt:i4>
      </vt:variant>
      <vt:variant>
        <vt:i4>5</vt:i4>
      </vt:variant>
      <vt:variant>
        <vt:lpwstr/>
      </vt:variant>
      <vt:variant>
        <vt:lpwstr>_Toc314565313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ISO-9000 template</dc:title>
  <dc:creator>Mladen.Jug</dc:creator>
  <dc:description>USER MANUAL</dc:description>
  <cp:lastModifiedBy>Yuliyan Dimitrov</cp:lastModifiedBy>
  <cp:revision>11</cp:revision>
  <cp:lastPrinted>2012-01-23T08:34:00Z</cp:lastPrinted>
  <dcterms:created xsi:type="dcterms:W3CDTF">2019-05-30T12:34:00Z</dcterms:created>
  <dcterms:modified xsi:type="dcterms:W3CDTF">2019-05-30T13:21:00Z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0x010100573AFAF671402A4B9A2832273A60BDBA</vt:lpwstr>
  </property>
  <property fmtid="{D5CDD505-2E9C-101B-9397-08002B2CF9AE}" pid="3" name="_dlc_DocIdItemGuid">
    <vt:lpwstr>8bf64376-e65b-4fb8-8ff9-eb34832e69ab</vt:lpwstr>
  </property>
  <property fmtid="{D5CDD505-2E9C-101B-9397-08002B2CF9AE}" pid="4" name="_DocHome">
    <vt:i4>1897244021</vt:i4>
  </property>
</Properties>
</file>