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FCAE7" w14:textId="77777777" w:rsidR="00491823" w:rsidRPr="00E4351F" w:rsidRDefault="00491823" w:rsidP="00EF35F4">
      <w:pPr>
        <w:jc w:val="both"/>
        <w:rPr>
          <w:sz w:val="24"/>
          <w:szCs w:val="24"/>
        </w:rPr>
      </w:pPr>
    </w:p>
    <w:tbl>
      <w:tblPr>
        <w:tblpPr w:leftFromText="142" w:rightFromText="142" w:topFromText="5528" w:vertAnchor="page" w:horzAnchor="page" w:tblpX="1362" w:tblpY="5104"/>
        <w:tblW w:w="0" w:type="auto"/>
        <w:tblBorders>
          <w:top w:val="single" w:sz="8" w:space="0" w:color="23236E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24"/>
      </w:tblGrid>
      <w:tr w:rsidR="00491823" w:rsidRPr="00E4351F" w14:paraId="5233DE73" w14:textId="77777777">
        <w:tc>
          <w:tcPr>
            <w:tcW w:w="9524" w:type="dxa"/>
            <w:tcBorders>
              <w:top w:val="single" w:sz="8" w:space="0" w:color="23236E"/>
            </w:tcBorders>
            <w:tcMar>
              <w:top w:w="198" w:type="dxa"/>
            </w:tcMar>
          </w:tcPr>
          <w:p w14:paraId="2D37D6B0" w14:textId="7EEF8DAE" w:rsidR="00491823" w:rsidRPr="00E4351F" w:rsidRDefault="00491823" w:rsidP="006E6C17">
            <w:pPr>
              <w:pStyle w:val="headline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51F">
              <w:rPr>
                <w:rFonts w:ascii="Times New Roman" w:hAnsi="Times New Roman" w:cs="Times New Roman"/>
                <w:sz w:val="24"/>
                <w:szCs w:val="24"/>
              </w:rPr>
              <w:t>Анекс по конкретни региони за РИПС ЮИЕ към Хармонизираните правила за разпределяне на дългосрочни преносни права (Решение на АСЕР 3/2017) в съответствие с член 51 и 52(3) на Регламент на Комисията (ЕС) 2016/1719 от 26 септември 2016 г. за установяване на насоки за предварително разпределяне на преносната способност</w:t>
            </w:r>
          </w:p>
        </w:tc>
      </w:tr>
      <w:tr w:rsidR="00491823" w:rsidRPr="00E4351F" w14:paraId="66113413" w14:textId="77777777">
        <w:tc>
          <w:tcPr>
            <w:tcW w:w="9524" w:type="dxa"/>
          </w:tcPr>
          <w:p w14:paraId="2AE9CAAE" w14:textId="77777777" w:rsidR="00491823" w:rsidRPr="00E4351F" w:rsidRDefault="00491823" w:rsidP="008C7BD4">
            <w:pPr>
              <w:pStyle w:val="textheader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91823" w:rsidRPr="00E4351F" w14:paraId="69764E71" w14:textId="77777777">
        <w:trPr>
          <w:trHeight w:val="609"/>
        </w:trPr>
        <w:tc>
          <w:tcPr>
            <w:tcW w:w="9524" w:type="dxa"/>
          </w:tcPr>
          <w:p w14:paraId="3D07A5F4" w14:textId="2BABBA80" w:rsidR="00085DA9" w:rsidRPr="00E4351F" w:rsidRDefault="00040A3A" w:rsidP="00040A3A">
            <w:pPr>
              <w:pStyle w:val="textheader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35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 септември 2019 г.</w:t>
            </w:r>
          </w:p>
        </w:tc>
      </w:tr>
      <w:tr w:rsidR="00491823" w:rsidRPr="00E4351F" w14:paraId="39353679" w14:textId="77777777">
        <w:tc>
          <w:tcPr>
            <w:tcW w:w="9524" w:type="dxa"/>
            <w:tcBorders>
              <w:bottom w:val="single" w:sz="8" w:space="0" w:color="auto"/>
            </w:tcBorders>
            <w:tcMar>
              <w:bottom w:w="142" w:type="dxa"/>
            </w:tcMar>
          </w:tcPr>
          <w:p w14:paraId="7AAC25DB" w14:textId="77777777" w:rsidR="00491823" w:rsidRPr="00E4351F" w:rsidRDefault="00491823" w:rsidP="008C7BD4">
            <w:pPr>
              <w:pStyle w:val="time"/>
              <w:framePr w:hSpace="0" w:vSpace="0" w:wrap="auto" w:vAnchor="margin" w:hAnchor="text" w:xAlign="left" w:yAlign="inline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497799CC" w14:textId="77777777" w:rsidR="00491823" w:rsidRPr="00E4351F" w:rsidRDefault="00491823">
      <w:pPr>
        <w:pStyle w:val="textregular"/>
        <w:jc w:val="both"/>
        <w:rPr>
          <w:sz w:val="24"/>
          <w:szCs w:val="24"/>
        </w:rPr>
      </w:pPr>
    </w:p>
    <w:p w14:paraId="0C53F8C9" w14:textId="77777777" w:rsidR="00491823" w:rsidRPr="00E4351F" w:rsidRDefault="00491823" w:rsidP="00EF35F4">
      <w:pPr>
        <w:spacing w:after="120"/>
        <w:ind w:left="360"/>
        <w:jc w:val="both"/>
        <w:rPr>
          <w:sz w:val="24"/>
          <w:szCs w:val="24"/>
        </w:rPr>
      </w:pPr>
      <w:r w:rsidRPr="00E4351F">
        <w:rPr>
          <w:sz w:val="24"/>
          <w:szCs w:val="24"/>
        </w:rPr>
        <w:br w:type="page"/>
      </w:r>
      <w:r w:rsidRPr="00E4351F">
        <w:rPr>
          <w:sz w:val="24"/>
          <w:szCs w:val="24"/>
        </w:rPr>
        <w:lastRenderedPageBreak/>
        <w:t>Всички ОПС от РИПС ЮИЕ (Регион за изчисляване на преносна способност: Югоизточна Европа), отчитайки следното,</w:t>
      </w:r>
    </w:p>
    <w:p w14:paraId="0C7BEA0D" w14:textId="77777777" w:rsidR="00491823" w:rsidRPr="00E4351F" w:rsidRDefault="00491823">
      <w:pPr>
        <w:spacing w:before="400" w:after="120" w:line="340" w:lineRule="exact"/>
        <w:jc w:val="center"/>
        <w:outlineLvl w:val="0"/>
        <w:rPr>
          <w:b/>
          <w:bCs/>
          <w:color w:val="23236E"/>
          <w:sz w:val="24"/>
          <w:szCs w:val="24"/>
        </w:rPr>
      </w:pPr>
      <w:r w:rsidRPr="00E4351F">
        <w:rPr>
          <w:b/>
          <w:bCs/>
          <w:color w:val="23236E"/>
          <w:sz w:val="24"/>
          <w:szCs w:val="24"/>
        </w:rPr>
        <w:t>Като имат предвид, че:</w:t>
      </w:r>
    </w:p>
    <w:p w14:paraId="08CE9C97" w14:textId="7C6F1A57" w:rsidR="00491823" w:rsidRPr="00E4351F" w:rsidRDefault="00491823">
      <w:pPr>
        <w:numPr>
          <w:ilvl w:val="0"/>
          <w:numId w:val="5"/>
        </w:numPr>
        <w:spacing w:after="120" w:line="259" w:lineRule="auto"/>
        <w:jc w:val="both"/>
        <w:rPr>
          <w:sz w:val="24"/>
          <w:szCs w:val="24"/>
        </w:rPr>
      </w:pPr>
      <w:r w:rsidRPr="00E4351F">
        <w:rPr>
          <w:sz w:val="24"/>
          <w:szCs w:val="24"/>
        </w:rPr>
        <w:t>Този документ е общото предложение, разработено от операторите на електропреносни системи от РИПС ЮИЕ (по-нататък “</w:t>
      </w:r>
      <w:r w:rsidRPr="00E4351F">
        <w:rPr>
          <w:b/>
          <w:bCs/>
          <w:sz w:val="24"/>
          <w:szCs w:val="24"/>
        </w:rPr>
        <w:t>ОПС</w:t>
      </w:r>
      <w:r w:rsidRPr="00E4351F">
        <w:rPr>
          <w:sz w:val="24"/>
          <w:szCs w:val="24"/>
        </w:rPr>
        <w:t>”), както е определено в решение № 06/2016 на Агенцията за сътрудничество между енергийните регулатори от 17 ноември 2016 съгласно член 15(1) от Регламент на Комисията (ЕС) 2015/1222.</w:t>
      </w:r>
    </w:p>
    <w:p w14:paraId="7959F23E" w14:textId="77777777" w:rsidR="00491823" w:rsidRPr="00E4351F" w:rsidRDefault="00491823" w:rsidP="00E246A8">
      <w:pPr>
        <w:numPr>
          <w:ilvl w:val="0"/>
          <w:numId w:val="5"/>
        </w:numPr>
        <w:spacing w:after="120" w:line="259" w:lineRule="auto"/>
        <w:jc w:val="both"/>
        <w:rPr>
          <w:sz w:val="24"/>
          <w:szCs w:val="24"/>
        </w:rPr>
      </w:pPr>
      <w:r w:rsidRPr="00E4351F">
        <w:rPr>
          <w:sz w:val="24"/>
          <w:szCs w:val="24"/>
        </w:rPr>
        <w:t>Този документ представлява предложение за анекс по конкретни граници към Хармонизираните правила за разпределяне на дългосрочни преносни права на ниво ЕС (по-нататък “ХПР“), в съответствие с член 51 параграф 2 от Регламент ПРПС, както е одобрен от АСЕР с негово решение 03/2017 от 02 октомври 2017 г.</w:t>
      </w:r>
    </w:p>
    <w:p w14:paraId="0AAF26DE" w14:textId="77777777" w:rsidR="00491823" w:rsidRPr="00E4351F" w:rsidRDefault="00491823">
      <w:pPr>
        <w:numPr>
          <w:ilvl w:val="0"/>
          <w:numId w:val="5"/>
        </w:numPr>
        <w:spacing w:after="120" w:line="259" w:lineRule="auto"/>
        <w:jc w:val="both"/>
        <w:rPr>
          <w:sz w:val="24"/>
          <w:szCs w:val="24"/>
        </w:rPr>
      </w:pPr>
      <w:r w:rsidRPr="00E4351F">
        <w:rPr>
          <w:sz w:val="24"/>
          <w:szCs w:val="24"/>
        </w:rPr>
        <w:t>Това общо предложение определяне специфичните изисквания, приложими към РИПС на регионално ниво и на ниво граница на тръжна зона съгласно член 52(3) от Регламент на Комисията (ЕС) 2016/1719 за установяване на насоки относно предварителното разпределяне на преносна способност (по-нататък “</w:t>
      </w:r>
      <w:r w:rsidRPr="00E4351F">
        <w:rPr>
          <w:b/>
          <w:bCs/>
          <w:sz w:val="24"/>
          <w:szCs w:val="24"/>
        </w:rPr>
        <w:t>Регламент ПРПС</w:t>
      </w:r>
      <w:r w:rsidRPr="00E4351F">
        <w:rPr>
          <w:sz w:val="24"/>
          <w:szCs w:val="24"/>
        </w:rPr>
        <w:t>”).</w:t>
      </w:r>
    </w:p>
    <w:p w14:paraId="7C72CD50" w14:textId="77777777" w:rsidR="00491823" w:rsidRPr="00E4351F" w:rsidRDefault="00491823">
      <w:pPr>
        <w:numPr>
          <w:ilvl w:val="0"/>
          <w:numId w:val="5"/>
        </w:numPr>
        <w:spacing w:after="120" w:line="259" w:lineRule="auto"/>
        <w:jc w:val="both"/>
        <w:rPr>
          <w:sz w:val="24"/>
          <w:szCs w:val="24"/>
        </w:rPr>
      </w:pPr>
      <w:r w:rsidRPr="00E4351F">
        <w:rPr>
          <w:sz w:val="24"/>
          <w:szCs w:val="24"/>
        </w:rPr>
        <w:t>Това предложение включва следните части:</w:t>
      </w:r>
    </w:p>
    <w:p w14:paraId="5B3B7EE1" w14:textId="77777777" w:rsidR="00491823" w:rsidRPr="00E4351F" w:rsidRDefault="00491823">
      <w:pPr>
        <w:numPr>
          <w:ilvl w:val="1"/>
          <w:numId w:val="5"/>
        </w:numPr>
        <w:spacing w:after="120" w:line="259" w:lineRule="auto"/>
        <w:jc w:val="both"/>
        <w:rPr>
          <w:sz w:val="24"/>
          <w:szCs w:val="24"/>
        </w:rPr>
      </w:pPr>
      <w:r w:rsidRPr="00E4351F">
        <w:rPr>
          <w:sz w:val="24"/>
          <w:szCs w:val="24"/>
        </w:rPr>
        <w:t xml:space="preserve">Първата част обхваща общите разпоредби на предложението; </w:t>
      </w:r>
    </w:p>
    <w:p w14:paraId="147F71A8" w14:textId="77777777" w:rsidR="00491823" w:rsidRPr="00E4351F" w:rsidRDefault="00491823">
      <w:pPr>
        <w:numPr>
          <w:ilvl w:val="1"/>
          <w:numId w:val="5"/>
        </w:numPr>
        <w:spacing w:after="120" w:line="259" w:lineRule="auto"/>
        <w:jc w:val="both"/>
        <w:rPr>
          <w:sz w:val="24"/>
          <w:szCs w:val="24"/>
        </w:rPr>
      </w:pPr>
      <w:r w:rsidRPr="00E4351F">
        <w:rPr>
          <w:sz w:val="24"/>
          <w:szCs w:val="24"/>
        </w:rPr>
        <w:t xml:space="preserve">Втората част разглежда приложимостта на горна граница на компенсациите за ограничения в съответствие с член 59 на ХПР; </w:t>
      </w:r>
    </w:p>
    <w:p w14:paraId="7837ED6E" w14:textId="4D526A80" w:rsidR="00491823" w:rsidRPr="00E4351F" w:rsidRDefault="00491823">
      <w:pPr>
        <w:numPr>
          <w:ilvl w:val="1"/>
          <w:numId w:val="5"/>
        </w:numPr>
        <w:spacing w:after="120" w:line="259" w:lineRule="auto"/>
        <w:jc w:val="both"/>
        <w:rPr>
          <w:sz w:val="24"/>
          <w:szCs w:val="24"/>
        </w:rPr>
      </w:pPr>
      <w:r w:rsidRPr="00E4351F">
        <w:rPr>
          <w:sz w:val="24"/>
          <w:szCs w:val="24"/>
        </w:rPr>
        <w:t xml:space="preserve">Третата част разглежда други специфики по регион или граница на тръжна зона, приложими към РИПС ЮИЕ в съответствие с член 52(3) на Регламент ПРПС. </w:t>
      </w:r>
    </w:p>
    <w:p w14:paraId="149C8608" w14:textId="6DCC83BE" w:rsidR="00491823" w:rsidRPr="00E4351F" w:rsidRDefault="00491823">
      <w:pPr>
        <w:numPr>
          <w:ilvl w:val="0"/>
          <w:numId w:val="5"/>
        </w:numPr>
        <w:spacing w:after="120" w:line="259" w:lineRule="auto"/>
        <w:jc w:val="both"/>
        <w:rPr>
          <w:sz w:val="24"/>
          <w:szCs w:val="24"/>
        </w:rPr>
      </w:pPr>
      <w:r w:rsidRPr="00E4351F">
        <w:rPr>
          <w:sz w:val="24"/>
          <w:szCs w:val="24"/>
        </w:rPr>
        <w:t xml:space="preserve">В съответствие с член 6 от Регламент ПРПС, предложенията на регионално ниво трябва да се представят за обсъждане най-малко на регионално ниво. Съгласно това, разпоредбите по отношение приложимостта на горната граница беше обсъдена, заедно с основния текст на ХПР (като част от бившия Анекс I на това предложение), за период не по-кратък от един месец (а именно 16 януари до 17 февруари 2017). Другите специфични правила по регион или граница на тръжна зона от това предложение, както са посочени в третата част, също бяха обсъдени по време на публичното обсъждане на предишните Анекси по специфична граница/регион към ХПР. </w:t>
      </w:r>
    </w:p>
    <w:p w14:paraId="53CE9821" w14:textId="59E708A8" w:rsidR="00491823" w:rsidRPr="00E4351F" w:rsidRDefault="00491823" w:rsidP="00C30184">
      <w:pPr>
        <w:numPr>
          <w:ilvl w:val="0"/>
          <w:numId w:val="5"/>
        </w:numPr>
        <w:spacing w:after="120" w:line="259" w:lineRule="auto"/>
        <w:jc w:val="both"/>
        <w:rPr>
          <w:sz w:val="24"/>
          <w:szCs w:val="24"/>
        </w:rPr>
      </w:pPr>
      <w:r w:rsidRPr="00E4351F">
        <w:rPr>
          <w:sz w:val="24"/>
          <w:szCs w:val="24"/>
        </w:rPr>
        <w:t xml:space="preserve">Това предложение съдържа промяна към Анекса по конкретни граници към Хармонизираните правила за разпределяне за РИПС ЮИЕ, одобрен от АСЕР с негово решение 06/2017. То беше обект на консултация от 8 октомври до 8 ноември 2018 и </w:t>
      </w:r>
      <w:r w:rsidRPr="00E4351F">
        <w:rPr>
          <w:sz w:val="24"/>
          <w:szCs w:val="24"/>
        </w:rPr>
        <w:lastRenderedPageBreak/>
        <w:t>сега се представя за одобрение от всички национални регулаторни органи (по-нататък “</w:t>
      </w:r>
      <w:r w:rsidRPr="00E4351F">
        <w:rPr>
          <w:b/>
          <w:bCs/>
          <w:sz w:val="24"/>
          <w:szCs w:val="24"/>
        </w:rPr>
        <w:t>НРО</w:t>
      </w:r>
      <w:r w:rsidRPr="00E4351F">
        <w:rPr>
          <w:sz w:val="24"/>
          <w:szCs w:val="24"/>
        </w:rPr>
        <w:t>“) от РИПС ЮИЕ. В периода на консултация не са получени коментари.</w:t>
      </w:r>
    </w:p>
    <w:p w14:paraId="37AEFECF" w14:textId="77777777" w:rsidR="00491823" w:rsidRPr="00E4351F" w:rsidRDefault="00491823">
      <w:pPr>
        <w:spacing w:after="120" w:line="259" w:lineRule="auto"/>
        <w:ind w:left="720"/>
        <w:jc w:val="both"/>
        <w:rPr>
          <w:sz w:val="24"/>
          <w:szCs w:val="24"/>
          <w:lang w:val="en-US"/>
        </w:rPr>
      </w:pPr>
    </w:p>
    <w:p w14:paraId="4F72165A" w14:textId="0F43FFF5" w:rsidR="00491823" w:rsidRPr="00E4351F" w:rsidRDefault="00491823" w:rsidP="006B033B">
      <w:pPr>
        <w:spacing w:after="120"/>
        <w:jc w:val="center"/>
        <w:rPr>
          <w:sz w:val="24"/>
          <w:szCs w:val="24"/>
        </w:rPr>
      </w:pPr>
      <w:r w:rsidRPr="00E4351F">
        <w:rPr>
          <w:sz w:val="24"/>
          <w:szCs w:val="24"/>
        </w:rPr>
        <w:t>ПРЕДСТАВЯТ СЛЕДНОТО ПРЕДЛОЖЕНИЕ НА ВСИЧКИ РЕГУЛАТОРНИ ОРГАНИ ЗА ЮИЕ:</w:t>
      </w:r>
    </w:p>
    <w:p w14:paraId="66D05BA7" w14:textId="3F2B0E37" w:rsidR="00491823" w:rsidRPr="00E4351F" w:rsidRDefault="00491823" w:rsidP="00EF35F4">
      <w:pPr>
        <w:jc w:val="both"/>
        <w:rPr>
          <w:sz w:val="24"/>
          <w:szCs w:val="24"/>
        </w:rPr>
      </w:pPr>
    </w:p>
    <w:p w14:paraId="6258F127" w14:textId="77777777" w:rsidR="00491823" w:rsidRPr="00E4351F" w:rsidRDefault="00491823">
      <w:pPr>
        <w:spacing w:before="400" w:after="120" w:line="340" w:lineRule="exact"/>
        <w:jc w:val="center"/>
        <w:outlineLvl w:val="0"/>
        <w:rPr>
          <w:b/>
          <w:bCs/>
          <w:color w:val="23236E"/>
          <w:sz w:val="24"/>
          <w:szCs w:val="24"/>
        </w:rPr>
      </w:pPr>
      <w:r w:rsidRPr="00E4351F">
        <w:rPr>
          <w:b/>
          <w:bCs/>
          <w:color w:val="23236E"/>
          <w:sz w:val="24"/>
          <w:szCs w:val="24"/>
        </w:rPr>
        <w:t>Част 1</w:t>
      </w:r>
      <w:r w:rsidRPr="00E4351F">
        <w:rPr>
          <w:b/>
          <w:bCs/>
          <w:color w:val="23236E"/>
          <w:sz w:val="24"/>
          <w:szCs w:val="24"/>
        </w:rPr>
        <w:br/>
        <w:t>Общи разпоредби</w:t>
      </w:r>
    </w:p>
    <w:p w14:paraId="09285D0F" w14:textId="77777777" w:rsidR="00491823" w:rsidRPr="00E4351F" w:rsidRDefault="00491823">
      <w:pPr>
        <w:spacing w:after="120" w:line="260" w:lineRule="exact"/>
        <w:jc w:val="center"/>
        <w:outlineLvl w:val="1"/>
        <w:rPr>
          <w:b/>
          <w:bCs/>
          <w:color w:val="23236E"/>
          <w:sz w:val="24"/>
          <w:szCs w:val="24"/>
        </w:rPr>
      </w:pPr>
      <w:bookmarkStart w:id="0" w:name="_Toc432586769"/>
      <w:bookmarkStart w:id="1" w:name="_Toc432586789"/>
      <w:bookmarkStart w:id="2" w:name="_Toc434227405"/>
      <w:bookmarkStart w:id="3" w:name="_Toc434343196"/>
      <w:r w:rsidRPr="00E4351F">
        <w:rPr>
          <w:b/>
          <w:bCs/>
          <w:color w:val="23236E"/>
          <w:sz w:val="24"/>
          <w:szCs w:val="24"/>
        </w:rPr>
        <w:t>Член 1</w:t>
      </w:r>
      <w:r w:rsidRPr="00E4351F">
        <w:rPr>
          <w:b/>
          <w:bCs/>
          <w:color w:val="23236E"/>
          <w:sz w:val="24"/>
          <w:szCs w:val="24"/>
        </w:rPr>
        <w:br/>
      </w:r>
      <w:bookmarkEnd w:id="0"/>
      <w:bookmarkEnd w:id="1"/>
      <w:bookmarkEnd w:id="2"/>
      <w:bookmarkEnd w:id="3"/>
      <w:r w:rsidRPr="00E4351F">
        <w:rPr>
          <w:b/>
          <w:bCs/>
          <w:color w:val="23236E"/>
          <w:sz w:val="24"/>
          <w:szCs w:val="24"/>
        </w:rPr>
        <w:t>Предмет и обхват</w:t>
      </w:r>
    </w:p>
    <w:p w14:paraId="6C86AD89" w14:textId="77777777" w:rsidR="00491823" w:rsidRPr="00E4351F" w:rsidRDefault="00491823" w:rsidP="00EF35F4">
      <w:pPr>
        <w:spacing w:line="260" w:lineRule="exact"/>
        <w:jc w:val="both"/>
        <w:outlineLvl w:val="1"/>
        <w:rPr>
          <w:b/>
          <w:bCs/>
          <w:color w:val="23236E"/>
          <w:sz w:val="24"/>
          <w:szCs w:val="24"/>
          <w:lang w:val="en-US"/>
        </w:rPr>
      </w:pPr>
    </w:p>
    <w:p w14:paraId="05BC5D9B" w14:textId="3EBF1533" w:rsidR="00491823" w:rsidRPr="00E4351F" w:rsidRDefault="00491823" w:rsidP="00F6001D">
      <w:pPr>
        <w:pStyle w:val="ListParagraph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E4351F">
        <w:rPr>
          <w:rFonts w:ascii="Times New Roman" w:hAnsi="Times New Roman" w:cs="Times New Roman"/>
          <w:sz w:val="24"/>
          <w:szCs w:val="24"/>
        </w:rPr>
        <w:t xml:space="preserve">В съответствие с член 52(3) на Регламент ПРПС и член 4 на Анекс I към ХПР, регионални или гранични специфики могат да бъдат добавени за една или повече граници на тръжни зони. Правилата за разпределяне, описани в този специфичен по региони анекс, се прилагат за границите на РИПС ЮИЕ. Този анекс се прилага за следните ОПС: </w:t>
      </w:r>
      <w:proofErr w:type="spellStart"/>
      <w:r w:rsidRPr="00E4351F">
        <w:rPr>
          <w:rFonts w:ascii="Times New Roman" w:hAnsi="Times New Roman" w:cs="Times New Roman"/>
          <w:sz w:val="24"/>
          <w:szCs w:val="24"/>
        </w:rPr>
        <w:t>Транселектрика</w:t>
      </w:r>
      <w:proofErr w:type="spellEnd"/>
      <w:r w:rsidRPr="00E4351F">
        <w:rPr>
          <w:rFonts w:ascii="Times New Roman" w:hAnsi="Times New Roman" w:cs="Times New Roman"/>
          <w:sz w:val="24"/>
          <w:szCs w:val="24"/>
        </w:rPr>
        <w:t>, ЕСО ЕАД и АДМИЕ/ИПТО.</w:t>
      </w:r>
    </w:p>
    <w:p w14:paraId="265FA81A" w14:textId="439D0C09" w:rsidR="00491823" w:rsidRPr="00E4351F" w:rsidRDefault="00491823" w:rsidP="00F6001D">
      <w:pPr>
        <w:pStyle w:val="ListParagraph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E4351F">
        <w:rPr>
          <w:rFonts w:ascii="Times New Roman" w:hAnsi="Times New Roman" w:cs="Times New Roman"/>
          <w:sz w:val="24"/>
          <w:szCs w:val="24"/>
        </w:rPr>
        <w:t>Този Анекс се прилага за разпределянето на дългосрочни преносни права, за период на доставка, започващ от датата по параграф 2 на член 10 на настоящия Анекс, и след това.</w:t>
      </w:r>
    </w:p>
    <w:p w14:paraId="3EC0A80A" w14:textId="7AE38C2F" w:rsidR="00491823" w:rsidRPr="00E4351F" w:rsidRDefault="00491823" w:rsidP="00F6001D">
      <w:pPr>
        <w:pStyle w:val="ListParagraph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E4351F">
        <w:rPr>
          <w:rFonts w:ascii="Times New Roman" w:hAnsi="Times New Roman" w:cs="Times New Roman"/>
          <w:sz w:val="24"/>
          <w:szCs w:val="24"/>
        </w:rPr>
        <w:t>Освен ако изрично не е посочено друго, този Анекс регламентира всички права и задължения във връзка с дългосрочни права за пренос, придобити преди влизането в сила на този Анекс, но с период на доставка по параграф 2 на член 10.</w:t>
      </w:r>
    </w:p>
    <w:p w14:paraId="7FFB631E" w14:textId="77777777" w:rsidR="00491823" w:rsidRPr="00E4351F" w:rsidRDefault="00491823" w:rsidP="00EF35F4">
      <w:pPr>
        <w:pStyle w:val="ListParagraph"/>
        <w:spacing w:after="0"/>
        <w:ind w:left="567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6A166DC8" w14:textId="77777777" w:rsidR="00491823" w:rsidRPr="00E4351F" w:rsidRDefault="00491823" w:rsidP="00EF35F4">
      <w:pPr>
        <w:pStyle w:val="ListParagraph"/>
        <w:spacing w:after="0"/>
        <w:ind w:left="567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E4351F">
        <w:rPr>
          <w:rFonts w:ascii="Times New Roman" w:hAnsi="Times New Roman" w:cs="Times New Roman"/>
          <w:b/>
          <w:bCs/>
          <w:color w:val="002060"/>
          <w:sz w:val="24"/>
          <w:szCs w:val="24"/>
        </w:rPr>
        <w:t>Член 2</w:t>
      </w:r>
    </w:p>
    <w:p w14:paraId="797E8378" w14:textId="77777777" w:rsidR="00491823" w:rsidRPr="00E4351F" w:rsidRDefault="00491823">
      <w:pPr>
        <w:pStyle w:val="ListParagraph"/>
        <w:ind w:left="720"/>
        <w:jc w:val="center"/>
        <w:rPr>
          <w:rFonts w:ascii="Times New Roman" w:hAnsi="Times New Roman" w:cs="Times New Roman"/>
          <w:b/>
          <w:bCs/>
          <w:color w:val="23236E"/>
          <w:sz w:val="24"/>
          <w:szCs w:val="24"/>
        </w:rPr>
      </w:pPr>
      <w:r w:rsidRPr="00E4351F">
        <w:rPr>
          <w:rFonts w:ascii="Times New Roman" w:hAnsi="Times New Roman" w:cs="Times New Roman"/>
          <w:b/>
          <w:bCs/>
          <w:color w:val="23236E"/>
          <w:sz w:val="24"/>
          <w:szCs w:val="24"/>
        </w:rPr>
        <w:t>Определения и тълкувания</w:t>
      </w:r>
    </w:p>
    <w:p w14:paraId="05868F6E" w14:textId="77777777" w:rsidR="00491823" w:rsidRPr="00E4351F" w:rsidRDefault="00491823" w:rsidP="00F6001D">
      <w:pPr>
        <w:pStyle w:val="ListParagraph"/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E4351F">
        <w:rPr>
          <w:rFonts w:ascii="Times New Roman" w:hAnsi="Times New Roman" w:cs="Times New Roman"/>
          <w:sz w:val="24"/>
          <w:szCs w:val="24"/>
        </w:rPr>
        <w:t>За целите на този Анекс към ХПР, използваните термини имат значението на определенията, включени в член 2 на ХПР и член 2 на Регламент ПРПС и Регламент (ЕО) 714/2009 и Регламент (ЕО) 543/2013.</w:t>
      </w:r>
    </w:p>
    <w:p w14:paraId="163913C1" w14:textId="77777777" w:rsidR="00491823" w:rsidRPr="00E4351F" w:rsidRDefault="00491823" w:rsidP="00F6001D">
      <w:pPr>
        <w:pStyle w:val="ListParagraph"/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E4351F">
        <w:rPr>
          <w:rFonts w:ascii="Times New Roman" w:hAnsi="Times New Roman" w:cs="Times New Roman"/>
          <w:sz w:val="24"/>
          <w:szCs w:val="24"/>
        </w:rPr>
        <w:t xml:space="preserve">В настоящия документ, освен ако контекста не изисква друго: </w:t>
      </w:r>
    </w:p>
    <w:p w14:paraId="26B78DB6" w14:textId="77777777" w:rsidR="00491823" w:rsidRPr="00E4351F" w:rsidRDefault="00491823" w:rsidP="00F6001D">
      <w:pPr>
        <w:pStyle w:val="ListParagraph"/>
        <w:numPr>
          <w:ilvl w:val="1"/>
          <w:numId w:val="8"/>
        </w:numPr>
        <w:spacing w:after="120"/>
        <w:ind w:left="992" w:hanging="425"/>
        <w:rPr>
          <w:rFonts w:ascii="Times New Roman" w:hAnsi="Times New Roman" w:cs="Times New Roman"/>
          <w:sz w:val="24"/>
          <w:szCs w:val="24"/>
        </w:rPr>
      </w:pPr>
      <w:r w:rsidRPr="00E4351F">
        <w:rPr>
          <w:rFonts w:ascii="Times New Roman" w:hAnsi="Times New Roman" w:cs="Times New Roman"/>
          <w:sz w:val="24"/>
          <w:szCs w:val="24"/>
        </w:rPr>
        <w:t xml:space="preserve">единствено число обхваща и множествено и обратното; </w:t>
      </w:r>
    </w:p>
    <w:p w14:paraId="6AC4343D" w14:textId="77777777" w:rsidR="00491823" w:rsidRPr="00E4351F" w:rsidRDefault="00491823" w:rsidP="00F6001D">
      <w:pPr>
        <w:pStyle w:val="ListParagraph"/>
        <w:numPr>
          <w:ilvl w:val="1"/>
          <w:numId w:val="8"/>
        </w:numPr>
        <w:spacing w:after="120"/>
        <w:ind w:left="992" w:hanging="425"/>
        <w:rPr>
          <w:rFonts w:ascii="Times New Roman" w:hAnsi="Times New Roman" w:cs="Times New Roman"/>
          <w:sz w:val="24"/>
          <w:szCs w:val="24"/>
        </w:rPr>
      </w:pPr>
      <w:r w:rsidRPr="00E4351F">
        <w:rPr>
          <w:rFonts w:ascii="Times New Roman" w:hAnsi="Times New Roman" w:cs="Times New Roman"/>
          <w:sz w:val="24"/>
          <w:szCs w:val="24"/>
        </w:rPr>
        <w:t>заглавията са добавени единствено за удобство и не засягат тълкуването на предложението; и</w:t>
      </w:r>
    </w:p>
    <w:p w14:paraId="0415000D" w14:textId="77777777" w:rsidR="00491823" w:rsidRPr="00E4351F" w:rsidRDefault="00491823" w:rsidP="00F6001D">
      <w:pPr>
        <w:pStyle w:val="ListParagraph"/>
        <w:numPr>
          <w:ilvl w:val="1"/>
          <w:numId w:val="8"/>
        </w:numPr>
        <w:spacing w:after="120"/>
        <w:ind w:left="992" w:hanging="425"/>
        <w:rPr>
          <w:rFonts w:ascii="Times New Roman" w:hAnsi="Times New Roman" w:cs="Times New Roman"/>
          <w:sz w:val="24"/>
          <w:szCs w:val="24"/>
        </w:rPr>
      </w:pPr>
      <w:r w:rsidRPr="00E4351F">
        <w:rPr>
          <w:rFonts w:ascii="Times New Roman" w:hAnsi="Times New Roman" w:cs="Times New Roman"/>
          <w:sz w:val="24"/>
          <w:szCs w:val="24"/>
        </w:rPr>
        <w:lastRenderedPageBreak/>
        <w:t xml:space="preserve">всички препратки към законодателство, регламенти, директиви, наредби, инструменти, кодекси или други нормативни актове включват всички техни промени, разширение или повторно влизане в сила. </w:t>
      </w:r>
    </w:p>
    <w:p w14:paraId="34AF97D0" w14:textId="77777777" w:rsidR="00491823" w:rsidRPr="00E4351F" w:rsidRDefault="00491823">
      <w:pPr>
        <w:pStyle w:val="ListParagraph"/>
        <w:ind w:left="720"/>
        <w:jc w:val="center"/>
        <w:rPr>
          <w:rFonts w:ascii="Times New Roman" w:hAnsi="Times New Roman" w:cs="Times New Roman"/>
          <w:b/>
          <w:bCs/>
          <w:color w:val="23236E"/>
          <w:sz w:val="24"/>
          <w:szCs w:val="24"/>
        </w:rPr>
      </w:pPr>
      <w:r w:rsidRPr="00E4351F">
        <w:rPr>
          <w:rFonts w:ascii="Times New Roman" w:hAnsi="Times New Roman" w:cs="Times New Roman"/>
          <w:b/>
          <w:bCs/>
          <w:color w:val="23236E"/>
          <w:sz w:val="24"/>
          <w:szCs w:val="24"/>
        </w:rPr>
        <w:t>Член 3</w:t>
      </w:r>
      <w:r w:rsidRPr="00E4351F">
        <w:rPr>
          <w:rFonts w:ascii="Times New Roman" w:hAnsi="Times New Roman" w:cs="Times New Roman"/>
          <w:b/>
          <w:bCs/>
          <w:color w:val="23236E"/>
          <w:sz w:val="24"/>
          <w:szCs w:val="24"/>
        </w:rPr>
        <w:br/>
        <w:t>Език</w:t>
      </w:r>
    </w:p>
    <w:p w14:paraId="4F5FDD07" w14:textId="0685DBE4" w:rsidR="00491823" w:rsidRPr="00E4351F" w:rsidRDefault="00491823" w:rsidP="00EF35F4">
      <w:pPr>
        <w:jc w:val="both"/>
        <w:rPr>
          <w:sz w:val="24"/>
          <w:szCs w:val="24"/>
        </w:rPr>
      </w:pPr>
      <w:r w:rsidRPr="00E4351F">
        <w:rPr>
          <w:sz w:val="24"/>
          <w:szCs w:val="24"/>
        </w:rPr>
        <w:t>Работният език за това предложение за специфичен по региони анекс към ХПР е английски. За избягване на съмнение, когато ОПС трябва да преведат това предложение на техния национален език, в случай на несъответствия между английската версия, публикувана от ОПС в РИПС ЮИЕ в съответствие с член 4(13) на Регламент ПРПС и всяка версия на друг език, съответните ОПС, в съответствие с националното законодателство, следва да представят на съответните национални регулаторни органи актуализиран превод на предложението за специфичен по регион анекс към ХПР.</w:t>
      </w:r>
    </w:p>
    <w:p w14:paraId="2BAF46E9" w14:textId="77777777" w:rsidR="00491823" w:rsidRPr="00E4351F" w:rsidRDefault="00491823">
      <w:pPr>
        <w:spacing w:before="400" w:after="120" w:line="340" w:lineRule="exact"/>
        <w:jc w:val="center"/>
        <w:outlineLvl w:val="0"/>
        <w:rPr>
          <w:b/>
          <w:bCs/>
          <w:color w:val="23236E"/>
          <w:sz w:val="24"/>
          <w:szCs w:val="24"/>
        </w:rPr>
      </w:pPr>
      <w:r w:rsidRPr="00E4351F">
        <w:rPr>
          <w:b/>
          <w:bCs/>
          <w:color w:val="23236E"/>
          <w:sz w:val="24"/>
          <w:szCs w:val="24"/>
        </w:rPr>
        <w:t xml:space="preserve">Част 2 </w:t>
      </w:r>
      <w:r w:rsidRPr="00E4351F">
        <w:rPr>
          <w:b/>
          <w:bCs/>
          <w:color w:val="23236E"/>
          <w:sz w:val="24"/>
          <w:szCs w:val="24"/>
        </w:rPr>
        <w:br/>
        <w:t>Горна граница на компенсациите</w:t>
      </w:r>
    </w:p>
    <w:p w14:paraId="7E402BA9" w14:textId="77777777" w:rsidR="00491823" w:rsidRPr="00E4351F" w:rsidRDefault="00491823">
      <w:pPr>
        <w:spacing w:after="120" w:line="260" w:lineRule="exact"/>
        <w:jc w:val="center"/>
        <w:outlineLvl w:val="1"/>
        <w:rPr>
          <w:b/>
          <w:bCs/>
          <w:color w:val="23236E"/>
          <w:sz w:val="24"/>
          <w:szCs w:val="24"/>
        </w:rPr>
      </w:pPr>
      <w:r w:rsidRPr="00E4351F">
        <w:rPr>
          <w:b/>
          <w:bCs/>
          <w:color w:val="23236E"/>
          <w:sz w:val="24"/>
          <w:szCs w:val="24"/>
        </w:rPr>
        <w:t>Член 4</w:t>
      </w:r>
      <w:r w:rsidRPr="00E4351F">
        <w:rPr>
          <w:b/>
          <w:bCs/>
          <w:color w:val="23236E"/>
          <w:sz w:val="24"/>
          <w:szCs w:val="24"/>
        </w:rPr>
        <w:br/>
        <w:t>Граници на тръжна зона, на които е приложима горна граница</w:t>
      </w:r>
    </w:p>
    <w:p w14:paraId="7ED7FC7C" w14:textId="77777777" w:rsidR="00491823" w:rsidRPr="00E4351F" w:rsidRDefault="00491823">
      <w:pPr>
        <w:spacing w:after="120" w:line="259" w:lineRule="auto"/>
        <w:jc w:val="both"/>
        <w:rPr>
          <w:sz w:val="24"/>
          <w:szCs w:val="24"/>
        </w:rPr>
      </w:pPr>
      <w:r w:rsidRPr="00E4351F">
        <w:rPr>
          <w:sz w:val="24"/>
          <w:szCs w:val="24"/>
        </w:rPr>
        <w:t>За целите на това предложение и ХПР, горна граница на компенсациите се прилага единствено на границите на тръжните зони, изброени в настоящата част.</w:t>
      </w:r>
    </w:p>
    <w:p w14:paraId="3EFE1842" w14:textId="77777777" w:rsidR="00491823" w:rsidRPr="00E4351F" w:rsidRDefault="00491823">
      <w:pPr>
        <w:spacing w:after="120" w:line="259" w:lineRule="auto"/>
        <w:jc w:val="both"/>
        <w:rPr>
          <w:sz w:val="24"/>
          <w:szCs w:val="24"/>
          <w:lang w:val="en-US"/>
        </w:rPr>
      </w:pPr>
    </w:p>
    <w:p w14:paraId="34F57584" w14:textId="77777777" w:rsidR="00491823" w:rsidRPr="00E4351F" w:rsidRDefault="00491823">
      <w:pPr>
        <w:spacing w:after="120" w:line="260" w:lineRule="exact"/>
        <w:jc w:val="center"/>
        <w:outlineLvl w:val="1"/>
        <w:rPr>
          <w:b/>
          <w:bCs/>
          <w:color w:val="23236E"/>
          <w:sz w:val="24"/>
          <w:szCs w:val="24"/>
        </w:rPr>
      </w:pPr>
      <w:r w:rsidRPr="00E4351F">
        <w:rPr>
          <w:b/>
          <w:bCs/>
          <w:color w:val="23236E"/>
          <w:sz w:val="24"/>
          <w:szCs w:val="24"/>
        </w:rPr>
        <w:t>Член 5</w:t>
      </w:r>
      <w:r w:rsidRPr="00E4351F">
        <w:rPr>
          <w:b/>
          <w:bCs/>
          <w:color w:val="23236E"/>
          <w:sz w:val="24"/>
          <w:szCs w:val="24"/>
        </w:rPr>
        <w:br/>
        <w:t>Граница Румъния (RO-BG)</w:t>
      </w:r>
    </w:p>
    <w:p w14:paraId="47AA251D" w14:textId="77777777" w:rsidR="00491823" w:rsidRPr="00E4351F" w:rsidRDefault="00491823">
      <w:pPr>
        <w:spacing w:after="120" w:line="259" w:lineRule="auto"/>
        <w:jc w:val="both"/>
        <w:rPr>
          <w:sz w:val="24"/>
          <w:szCs w:val="24"/>
        </w:rPr>
      </w:pPr>
      <w:r w:rsidRPr="00E4351F">
        <w:rPr>
          <w:sz w:val="24"/>
          <w:szCs w:val="24"/>
        </w:rPr>
        <w:t>На границата Румъния -България се прилага горна граница на компенсациите в съответствие с член 59(2) на ХПР.</w:t>
      </w:r>
    </w:p>
    <w:p w14:paraId="655EB368" w14:textId="77777777" w:rsidR="00491823" w:rsidRPr="00E4351F" w:rsidRDefault="00491823">
      <w:pPr>
        <w:spacing w:after="120" w:line="260" w:lineRule="exact"/>
        <w:jc w:val="center"/>
        <w:outlineLvl w:val="1"/>
        <w:rPr>
          <w:b/>
          <w:bCs/>
          <w:color w:val="23236E"/>
          <w:sz w:val="24"/>
          <w:szCs w:val="24"/>
        </w:rPr>
      </w:pPr>
      <w:r w:rsidRPr="00E4351F">
        <w:rPr>
          <w:b/>
          <w:bCs/>
          <w:color w:val="23236E"/>
          <w:sz w:val="24"/>
          <w:szCs w:val="24"/>
        </w:rPr>
        <w:t>Член 6</w:t>
      </w:r>
      <w:r w:rsidRPr="00E4351F">
        <w:rPr>
          <w:b/>
          <w:bCs/>
          <w:color w:val="23236E"/>
          <w:sz w:val="24"/>
          <w:szCs w:val="24"/>
        </w:rPr>
        <w:br/>
        <w:t>Граница България-Гърция (BG-GR)</w:t>
      </w:r>
    </w:p>
    <w:p w14:paraId="7D158FDE" w14:textId="77777777" w:rsidR="00491823" w:rsidRPr="00E4351F" w:rsidRDefault="00491823">
      <w:pPr>
        <w:spacing w:after="120" w:line="259" w:lineRule="auto"/>
        <w:jc w:val="both"/>
        <w:rPr>
          <w:sz w:val="24"/>
          <w:szCs w:val="24"/>
        </w:rPr>
      </w:pPr>
      <w:r w:rsidRPr="00E4351F">
        <w:rPr>
          <w:sz w:val="24"/>
          <w:szCs w:val="24"/>
        </w:rPr>
        <w:t>На границата България-Гърция се прилага горна граница на компенсациите в съответствие с член 59(2) на ХПР.</w:t>
      </w:r>
    </w:p>
    <w:p w14:paraId="3F3D37DA" w14:textId="77777777" w:rsidR="00491823" w:rsidRPr="00E4351F" w:rsidRDefault="00491823">
      <w:pPr>
        <w:spacing w:after="120" w:line="259" w:lineRule="auto"/>
        <w:jc w:val="both"/>
        <w:rPr>
          <w:sz w:val="24"/>
          <w:szCs w:val="24"/>
        </w:rPr>
      </w:pPr>
      <w:r w:rsidRPr="00E4351F">
        <w:rPr>
          <w:sz w:val="24"/>
          <w:szCs w:val="24"/>
        </w:rPr>
        <w:t xml:space="preserve"> </w:t>
      </w:r>
    </w:p>
    <w:p w14:paraId="2A9477F2" w14:textId="77777777" w:rsidR="00491823" w:rsidRPr="00E4351F" w:rsidRDefault="00491823" w:rsidP="00EF35F4">
      <w:pPr>
        <w:spacing w:line="340" w:lineRule="exact"/>
        <w:jc w:val="both"/>
        <w:outlineLvl w:val="0"/>
        <w:rPr>
          <w:b/>
          <w:bCs/>
          <w:color w:val="23236E"/>
          <w:sz w:val="24"/>
          <w:szCs w:val="24"/>
          <w:lang w:val="en-US"/>
        </w:rPr>
      </w:pPr>
    </w:p>
    <w:p w14:paraId="1CCA38E9" w14:textId="1D4AC8AA" w:rsidR="00491823" w:rsidRPr="00E4351F" w:rsidRDefault="00491823">
      <w:pPr>
        <w:spacing w:line="340" w:lineRule="exact"/>
        <w:jc w:val="center"/>
        <w:outlineLvl w:val="0"/>
        <w:rPr>
          <w:b/>
          <w:bCs/>
          <w:color w:val="23236E"/>
          <w:sz w:val="24"/>
          <w:szCs w:val="24"/>
        </w:rPr>
      </w:pPr>
      <w:r w:rsidRPr="00E4351F">
        <w:rPr>
          <w:b/>
          <w:bCs/>
          <w:color w:val="23236E"/>
          <w:sz w:val="24"/>
          <w:szCs w:val="24"/>
        </w:rPr>
        <w:t xml:space="preserve">Част 3 </w:t>
      </w:r>
      <w:r w:rsidRPr="00E4351F">
        <w:rPr>
          <w:b/>
          <w:bCs/>
          <w:color w:val="23236E"/>
          <w:sz w:val="24"/>
          <w:szCs w:val="24"/>
        </w:rPr>
        <w:br/>
        <w:t>Допълнителни специфични изисквания по регион или граница на тръжна зона</w:t>
      </w:r>
    </w:p>
    <w:p w14:paraId="14F60CC0" w14:textId="77777777" w:rsidR="00491823" w:rsidRPr="00E4351F" w:rsidRDefault="00491823" w:rsidP="00EF35F4">
      <w:pPr>
        <w:spacing w:line="340" w:lineRule="exact"/>
        <w:jc w:val="both"/>
        <w:outlineLvl w:val="0"/>
        <w:rPr>
          <w:b/>
          <w:bCs/>
          <w:color w:val="23236E"/>
          <w:sz w:val="24"/>
          <w:szCs w:val="24"/>
          <w:lang w:val="en-US"/>
        </w:rPr>
      </w:pPr>
    </w:p>
    <w:p w14:paraId="3E53EDE1" w14:textId="77777777" w:rsidR="00491823" w:rsidRPr="00E4351F" w:rsidRDefault="00491823">
      <w:pPr>
        <w:spacing w:line="340" w:lineRule="exact"/>
        <w:jc w:val="center"/>
        <w:outlineLvl w:val="0"/>
        <w:rPr>
          <w:b/>
          <w:bCs/>
          <w:color w:val="23236E"/>
          <w:sz w:val="24"/>
          <w:szCs w:val="24"/>
        </w:rPr>
      </w:pPr>
      <w:r w:rsidRPr="00E4351F">
        <w:rPr>
          <w:b/>
          <w:bCs/>
          <w:color w:val="23236E"/>
          <w:sz w:val="24"/>
          <w:szCs w:val="24"/>
        </w:rPr>
        <w:t>Член 7</w:t>
      </w:r>
    </w:p>
    <w:p w14:paraId="34D99932" w14:textId="77777777" w:rsidR="00491823" w:rsidRPr="00E4351F" w:rsidRDefault="00491823">
      <w:pPr>
        <w:spacing w:line="340" w:lineRule="exact"/>
        <w:jc w:val="center"/>
        <w:outlineLvl w:val="0"/>
        <w:rPr>
          <w:b/>
          <w:bCs/>
          <w:color w:val="002060"/>
          <w:sz w:val="24"/>
          <w:szCs w:val="24"/>
        </w:rPr>
      </w:pPr>
      <w:r w:rsidRPr="00E4351F">
        <w:rPr>
          <w:b/>
          <w:bCs/>
          <w:color w:val="002060"/>
          <w:sz w:val="24"/>
          <w:szCs w:val="24"/>
        </w:rPr>
        <w:t>Видове дългосрочни права за пренос в РИПС ЮИЕ</w:t>
      </w:r>
    </w:p>
    <w:p w14:paraId="1AD6DF72" w14:textId="77777777" w:rsidR="00491823" w:rsidRPr="00E4351F" w:rsidRDefault="00491823">
      <w:pPr>
        <w:pStyle w:val="ListParagraph"/>
        <w:spacing w:after="120"/>
        <w:ind w:left="567"/>
        <w:rPr>
          <w:rFonts w:ascii="Times New Roman" w:hAnsi="Times New Roman" w:cs="Times New Roman"/>
          <w:sz w:val="24"/>
          <w:szCs w:val="24"/>
        </w:rPr>
      </w:pPr>
    </w:p>
    <w:p w14:paraId="4046C872" w14:textId="58517432" w:rsidR="00491823" w:rsidRPr="00E4351F" w:rsidRDefault="00491823" w:rsidP="00EF35F4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  <w:r w:rsidRPr="00E4351F">
        <w:rPr>
          <w:rFonts w:ascii="Times New Roman" w:hAnsi="Times New Roman" w:cs="Times New Roman"/>
          <w:sz w:val="24"/>
          <w:szCs w:val="24"/>
        </w:rPr>
        <w:t xml:space="preserve">Видовете дългосрочни права за пренос, приложими в РИПС ЮИЕ, са посочени в следния документ: </w:t>
      </w:r>
      <w:r w:rsidRPr="00E4351F">
        <w:rPr>
          <w:rFonts w:ascii="Times New Roman" w:hAnsi="Times New Roman" w:cs="Times New Roman"/>
          <w:i/>
          <w:iCs/>
          <w:sz w:val="24"/>
          <w:szCs w:val="24"/>
        </w:rPr>
        <w:t>“Модел на дългосрочни права за пренос за РИПС ЮИЕ (Югоизточна Европа) в съответствие с член 31 на Регламент на Комисията (ЕС) 2016/1719 от 26 септември 2016 за установяване на насоки за предварителното разпределяне на преносна способност”</w:t>
      </w:r>
    </w:p>
    <w:p w14:paraId="76848172" w14:textId="77777777" w:rsidR="00491823" w:rsidRPr="00E4351F" w:rsidRDefault="00491823" w:rsidP="008E55C6">
      <w:p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</w:p>
    <w:p w14:paraId="5466EFEB" w14:textId="77777777" w:rsidR="00491823" w:rsidRPr="00E4351F" w:rsidRDefault="00491823">
      <w:pPr>
        <w:spacing w:after="120" w:line="260" w:lineRule="exact"/>
        <w:jc w:val="center"/>
        <w:outlineLvl w:val="1"/>
        <w:rPr>
          <w:b/>
          <w:bCs/>
          <w:color w:val="23236E"/>
          <w:sz w:val="24"/>
          <w:szCs w:val="24"/>
        </w:rPr>
      </w:pPr>
      <w:r w:rsidRPr="00E4351F">
        <w:rPr>
          <w:b/>
          <w:bCs/>
          <w:color w:val="23236E"/>
          <w:sz w:val="24"/>
          <w:szCs w:val="24"/>
        </w:rPr>
        <w:t>Член 8</w:t>
      </w:r>
    </w:p>
    <w:p w14:paraId="0C0EEDCE" w14:textId="77777777" w:rsidR="00491823" w:rsidRPr="00E4351F" w:rsidRDefault="00491823">
      <w:pPr>
        <w:spacing w:after="120" w:line="260" w:lineRule="exact"/>
        <w:jc w:val="center"/>
        <w:outlineLvl w:val="1"/>
        <w:rPr>
          <w:b/>
          <w:bCs/>
          <w:color w:val="23236E"/>
          <w:sz w:val="24"/>
          <w:szCs w:val="24"/>
        </w:rPr>
      </w:pPr>
      <w:r w:rsidRPr="00E4351F">
        <w:rPr>
          <w:b/>
          <w:bCs/>
          <w:color w:val="23236E"/>
          <w:sz w:val="24"/>
          <w:szCs w:val="24"/>
        </w:rPr>
        <w:t>Гранични специфики за границата България-Гърция (BG-GR)</w:t>
      </w:r>
    </w:p>
    <w:p w14:paraId="33C5ACBD" w14:textId="77777777" w:rsidR="00491823" w:rsidRPr="00E4351F" w:rsidRDefault="00491823" w:rsidP="007C0154">
      <w:pPr>
        <w:pStyle w:val="ListParagraph"/>
        <w:autoSpaceDE w:val="0"/>
        <w:autoSpaceDN w:val="0"/>
        <w:adjustRightInd w:val="0"/>
        <w:ind w:left="567"/>
        <w:rPr>
          <w:rFonts w:ascii="Times New Roman" w:hAnsi="Times New Roman" w:cs="Times New Roman"/>
          <w:sz w:val="24"/>
          <w:szCs w:val="24"/>
        </w:rPr>
      </w:pPr>
      <w:r w:rsidRPr="00E4351F">
        <w:rPr>
          <w:rFonts w:ascii="Times New Roman" w:hAnsi="Times New Roman" w:cs="Times New Roman"/>
          <w:b/>
          <w:bCs/>
          <w:color w:val="23236E"/>
          <w:sz w:val="24"/>
          <w:szCs w:val="24"/>
        </w:rPr>
        <w:t xml:space="preserve">Временни договорености за срок за ограничение на границата на тръжна зона България-Гърция до осъществяване на единното свързване ден напред на границата на тръжната зона </w:t>
      </w:r>
    </w:p>
    <w:p w14:paraId="41808B47" w14:textId="77777777" w:rsidR="00491823" w:rsidRPr="00E4351F" w:rsidRDefault="00491823" w:rsidP="00F6001D">
      <w:pPr>
        <w:pStyle w:val="ListParagraph"/>
        <w:numPr>
          <w:ilvl w:val="0"/>
          <w:numId w:val="9"/>
        </w:numPr>
        <w:spacing w:after="12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4351F">
        <w:rPr>
          <w:rFonts w:ascii="Times New Roman" w:hAnsi="Times New Roman" w:cs="Times New Roman"/>
          <w:sz w:val="24"/>
          <w:szCs w:val="24"/>
        </w:rPr>
        <w:t>Съгласно чл. 56 от ХПР, дългосрочните права за пренос, независимо от периода на продукта, могат да се ограничават:</w:t>
      </w:r>
    </w:p>
    <w:p w14:paraId="7B6BFA9B" w14:textId="77777777" w:rsidR="00491823" w:rsidRPr="00E4351F" w:rsidRDefault="00491823" w:rsidP="00F6001D">
      <w:pPr>
        <w:pStyle w:val="ListParagraph"/>
        <w:numPr>
          <w:ilvl w:val="0"/>
          <w:numId w:val="10"/>
        </w:numPr>
        <w:spacing w:after="120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E4351F">
        <w:rPr>
          <w:rFonts w:ascii="Times New Roman" w:hAnsi="Times New Roman" w:cs="Times New Roman"/>
          <w:sz w:val="24"/>
          <w:szCs w:val="24"/>
        </w:rPr>
        <w:t xml:space="preserve">преди срока за </w:t>
      </w:r>
      <w:proofErr w:type="spellStart"/>
      <w:r w:rsidRPr="00E4351F">
        <w:rPr>
          <w:rFonts w:ascii="Times New Roman" w:hAnsi="Times New Roman" w:cs="Times New Roman"/>
          <w:sz w:val="24"/>
          <w:szCs w:val="24"/>
        </w:rPr>
        <w:t>гарантираност</w:t>
      </w:r>
      <w:proofErr w:type="spellEnd"/>
      <w:r w:rsidRPr="00E4351F">
        <w:rPr>
          <w:rFonts w:ascii="Times New Roman" w:hAnsi="Times New Roman" w:cs="Times New Roman"/>
          <w:sz w:val="24"/>
          <w:szCs w:val="24"/>
        </w:rPr>
        <w:t xml:space="preserve"> на сделки на пазара ден напред в случаи на форсмажор или за да се гарантира, че експлоатацията остава в рамките на границите, осигуряващи експлоатационна сигурност;</w:t>
      </w:r>
    </w:p>
    <w:p w14:paraId="787A0803" w14:textId="77777777" w:rsidR="00491823" w:rsidRPr="00E4351F" w:rsidRDefault="00491823" w:rsidP="00F6001D">
      <w:pPr>
        <w:pStyle w:val="ListParagraph"/>
        <w:numPr>
          <w:ilvl w:val="0"/>
          <w:numId w:val="10"/>
        </w:numPr>
        <w:spacing w:after="120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E4351F">
        <w:rPr>
          <w:rFonts w:ascii="Times New Roman" w:hAnsi="Times New Roman" w:cs="Times New Roman"/>
          <w:sz w:val="24"/>
          <w:szCs w:val="24"/>
        </w:rPr>
        <w:t xml:space="preserve">След срока за </w:t>
      </w:r>
      <w:proofErr w:type="spellStart"/>
      <w:r w:rsidRPr="00E4351F">
        <w:rPr>
          <w:rFonts w:ascii="Times New Roman" w:hAnsi="Times New Roman" w:cs="Times New Roman"/>
          <w:sz w:val="24"/>
          <w:szCs w:val="24"/>
        </w:rPr>
        <w:t>гарантираност</w:t>
      </w:r>
      <w:proofErr w:type="spellEnd"/>
      <w:r w:rsidRPr="00E4351F">
        <w:rPr>
          <w:rFonts w:ascii="Times New Roman" w:hAnsi="Times New Roman" w:cs="Times New Roman"/>
          <w:sz w:val="24"/>
          <w:szCs w:val="24"/>
        </w:rPr>
        <w:t xml:space="preserve"> на сделките на пазара ден напред в случай на форсмажор или непредвидена ситуация в съответствие с член 72 от Регламент на Комисията 2015/1222.</w:t>
      </w:r>
    </w:p>
    <w:p w14:paraId="7C925718" w14:textId="1BE020C8" w:rsidR="00491823" w:rsidRPr="00E4351F" w:rsidRDefault="00491823" w:rsidP="00F6001D">
      <w:pPr>
        <w:pStyle w:val="ListParagraph"/>
        <w:numPr>
          <w:ilvl w:val="0"/>
          <w:numId w:val="9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E4351F">
        <w:rPr>
          <w:rFonts w:ascii="Times New Roman" w:hAnsi="Times New Roman" w:cs="Times New Roman"/>
          <w:sz w:val="24"/>
          <w:szCs w:val="24"/>
        </w:rPr>
        <w:t xml:space="preserve">До осъществяването на единното свързване ден напред на граница България-Гърция, срокът за </w:t>
      </w:r>
      <w:proofErr w:type="spellStart"/>
      <w:r w:rsidRPr="00E4351F">
        <w:rPr>
          <w:rFonts w:ascii="Times New Roman" w:hAnsi="Times New Roman" w:cs="Times New Roman"/>
          <w:sz w:val="24"/>
          <w:szCs w:val="24"/>
        </w:rPr>
        <w:t>гарантираност</w:t>
      </w:r>
      <w:proofErr w:type="spellEnd"/>
      <w:r w:rsidRPr="00E4351F">
        <w:rPr>
          <w:rFonts w:ascii="Times New Roman" w:hAnsi="Times New Roman" w:cs="Times New Roman"/>
          <w:sz w:val="24"/>
          <w:szCs w:val="24"/>
        </w:rPr>
        <w:t xml:space="preserve"> на дългосрочните преносни права се определя като срока за крайно подаване на номинации на дългосрочни физически права за пренос към съответните ОПС.</w:t>
      </w:r>
    </w:p>
    <w:p w14:paraId="26B54FD5" w14:textId="77777777" w:rsidR="00491823" w:rsidRPr="00E4351F" w:rsidRDefault="00491823" w:rsidP="00865584">
      <w:pPr>
        <w:spacing w:after="120" w:line="260" w:lineRule="exact"/>
        <w:jc w:val="center"/>
        <w:outlineLvl w:val="1"/>
        <w:rPr>
          <w:b/>
          <w:bCs/>
          <w:color w:val="23236E"/>
          <w:sz w:val="24"/>
          <w:szCs w:val="24"/>
          <w:lang w:val="en-US"/>
        </w:rPr>
      </w:pPr>
      <w:bookmarkStart w:id="4" w:name="_GoBack"/>
      <w:bookmarkEnd w:id="4"/>
    </w:p>
    <w:p w14:paraId="14C45A79" w14:textId="77777777" w:rsidR="00491823" w:rsidRPr="00E4351F" w:rsidRDefault="00491823" w:rsidP="00865584">
      <w:pPr>
        <w:spacing w:after="120" w:line="260" w:lineRule="exact"/>
        <w:jc w:val="center"/>
        <w:outlineLvl w:val="1"/>
        <w:rPr>
          <w:b/>
          <w:bCs/>
          <w:color w:val="23236E"/>
          <w:sz w:val="24"/>
          <w:szCs w:val="24"/>
        </w:rPr>
      </w:pPr>
      <w:r w:rsidRPr="00E4351F">
        <w:rPr>
          <w:b/>
          <w:bCs/>
          <w:color w:val="23236E"/>
          <w:sz w:val="24"/>
          <w:szCs w:val="24"/>
        </w:rPr>
        <w:t>Член 9</w:t>
      </w:r>
    </w:p>
    <w:p w14:paraId="4BCFA15C" w14:textId="00565354" w:rsidR="00491823" w:rsidRPr="00E4351F" w:rsidRDefault="00491823">
      <w:pPr>
        <w:spacing w:after="120" w:line="260" w:lineRule="exact"/>
        <w:jc w:val="center"/>
        <w:outlineLvl w:val="1"/>
        <w:rPr>
          <w:b/>
          <w:bCs/>
          <w:color w:val="23236E"/>
          <w:sz w:val="24"/>
          <w:szCs w:val="24"/>
        </w:rPr>
      </w:pPr>
      <w:r w:rsidRPr="00E4351F">
        <w:rPr>
          <w:b/>
          <w:bCs/>
          <w:color w:val="23236E"/>
          <w:sz w:val="24"/>
          <w:szCs w:val="24"/>
        </w:rPr>
        <w:t>Специфики на границата Румъния-България (RO-BG)</w:t>
      </w:r>
    </w:p>
    <w:p w14:paraId="776E123F" w14:textId="77777777" w:rsidR="00491823" w:rsidRPr="00E4351F" w:rsidRDefault="00491823" w:rsidP="00865584">
      <w:pPr>
        <w:spacing w:after="120" w:line="260" w:lineRule="exact"/>
        <w:jc w:val="center"/>
        <w:outlineLvl w:val="1"/>
        <w:rPr>
          <w:b/>
          <w:bCs/>
          <w:color w:val="23236E"/>
          <w:sz w:val="24"/>
          <w:szCs w:val="24"/>
        </w:rPr>
      </w:pPr>
      <w:r w:rsidRPr="00E4351F">
        <w:rPr>
          <w:b/>
          <w:bCs/>
          <w:color w:val="23236E"/>
          <w:sz w:val="24"/>
          <w:szCs w:val="24"/>
        </w:rPr>
        <w:t>Временни договорености за срок за ограничение на границата на тръжна зона Румъния-България до осъществяване на единното свързване ден напред на границата на тръжната зона</w:t>
      </w:r>
    </w:p>
    <w:p w14:paraId="3CAAFF00" w14:textId="0EA71189" w:rsidR="00491823" w:rsidRPr="00E4351F" w:rsidRDefault="00491823" w:rsidP="00136D9F">
      <w:pPr>
        <w:pStyle w:val="ListParagraph"/>
        <w:numPr>
          <w:ilvl w:val="0"/>
          <w:numId w:val="7"/>
        </w:numPr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bookmarkStart w:id="5" w:name="_Ref400930596"/>
      <w:r w:rsidRPr="00E4351F">
        <w:rPr>
          <w:rFonts w:ascii="Times New Roman" w:hAnsi="Times New Roman" w:cs="Times New Roman"/>
          <w:sz w:val="24"/>
          <w:szCs w:val="24"/>
        </w:rPr>
        <w:t xml:space="preserve">Платформата за разпределяне ще публикува на сайта си и ще вземе предвид при изчисление на компенсацията за ограничени дългосрочни права за пренос </w:t>
      </w:r>
      <w:r w:rsidRPr="00E4351F">
        <w:rPr>
          <w:rStyle w:val="fontstyle01"/>
          <w:rFonts w:ascii="Times New Roman" w:hAnsi="Times New Roman" w:cs="Times New Roman"/>
          <w:sz w:val="24"/>
          <w:szCs w:val="24"/>
        </w:rPr>
        <w:t xml:space="preserve">срока за </w:t>
      </w:r>
      <w:proofErr w:type="spellStart"/>
      <w:r w:rsidRPr="00E4351F">
        <w:rPr>
          <w:rStyle w:val="fontstyle01"/>
          <w:rFonts w:ascii="Times New Roman" w:hAnsi="Times New Roman" w:cs="Times New Roman"/>
          <w:sz w:val="24"/>
          <w:szCs w:val="24"/>
        </w:rPr>
        <w:t>гарантираност</w:t>
      </w:r>
      <w:proofErr w:type="spellEnd"/>
      <w:r w:rsidRPr="00E4351F">
        <w:rPr>
          <w:rStyle w:val="fontstyle01"/>
          <w:rFonts w:ascii="Times New Roman" w:hAnsi="Times New Roman" w:cs="Times New Roman"/>
          <w:sz w:val="24"/>
          <w:szCs w:val="24"/>
        </w:rPr>
        <w:t xml:space="preserve"> на дългосрочните преносни права (срок на ограничение)</w:t>
      </w:r>
      <w:r w:rsidRPr="00E4351F">
        <w:rPr>
          <w:rFonts w:ascii="Times New Roman" w:hAnsi="Times New Roman" w:cs="Times New Roman"/>
          <w:sz w:val="24"/>
          <w:szCs w:val="24"/>
        </w:rPr>
        <w:t xml:space="preserve">, който за целта на тези Правила за разпределяне е 10:00 (CET) за граница между тръжни зони Румъния- България. </w:t>
      </w:r>
      <w:bookmarkEnd w:id="5"/>
    </w:p>
    <w:p w14:paraId="07057EDE" w14:textId="108C6160" w:rsidR="00491823" w:rsidRPr="00E4351F" w:rsidRDefault="00491823" w:rsidP="00136D9F">
      <w:pPr>
        <w:pStyle w:val="ListParagraph"/>
        <w:numPr>
          <w:ilvl w:val="0"/>
          <w:numId w:val="7"/>
        </w:numPr>
        <w:tabs>
          <w:tab w:val="left" w:pos="567"/>
        </w:tabs>
        <w:spacing w:before="120"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4351F">
        <w:rPr>
          <w:rFonts w:ascii="Times New Roman" w:hAnsi="Times New Roman" w:cs="Times New Roman"/>
          <w:sz w:val="24"/>
          <w:szCs w:val="24"/>
        </w:rPr>
        <w:lastRenderedPageBreak/>
        <w:t xml:space="preserve">Горепосоченият срок за </w:t>
      </w:r>
      <w:proofErr w:type="spellStart"/>
      <w:r w:rsidRPr="00E4351F">
        <w:rPr>
          <w:rFonts w:ascii="Times New Roman" w:hAnsi="Times New Roman" w:cs="Times New Roman"/>
          <w:sz w:val="24"/>
          <w:szCs w:val="24"/>
        </w:rPr>
        <w:t>гарантираност</w:t>
      </w:r>
      <w:proofErr w:type="spellEnd"/>
      <w:r w:rsidRPr="00E4351F">
        <w:rPr>
          <w:rFonts w:ascii="Times New Roman" w:hAnsi="Times New Roman" w:cs="Times New Roman"/>
          <w:sz w:val="24"/>
          <w:szCs w:val="24"/>
        </w:rPr>
        <w:t xml:space="preserve"> на дългосрочните преносни права ще е валиден до осъществяване на единното свързване ден напред на границата на тръжна зона Румъния-България.</w:t>
      </w:r>
    </w:p>
    <w:p w14:paraId="78E0B248" w14:textId="77777777" w:rsidR="00491823" w:rsidRPr="00E4351F" w:rsidRDefault="00491823" w:rsidP="0034587A">
      <w:pPr>
        <w:spacing w:after="120"/>
        <w:rPr>
          <w:sz w:val="24"/>
          <w:szCs w:val="24"/>
        </w:rPr>
      </w:pPr>
    </w:p>
    <w:p w14:paraId="5F2477BB" w14:textId="77777777" w:rsidR="00491823" w:rsidRPr="00E4351F" w:rsidRDefault="00491823" w:rsidP="0034587A">
      <w:pPr>
        <w:spacing w:after="120"/>
        <w:jc w:val="center"/>
        <w:rPr>
          <w:b/>
          <w:bCs/>
          <w:color w:val="002060"/>
          <w:sz w:val="24"/>
          <w:szCs w:val="24"/>
        </w:rPr>
      </w:pPr>
      <w:r w:rsidRPr="00E4351F">
        <w:rPr>
          <w:b/>
          <w:bCs/>
          <w:color w:val="002060"/>
          <w:sz w:val="24"/>
          <w:szCs w:val="24"/>
        </w:rPr>
        <w:t>Член 10</w:t>
      </w:r>
    </w:p>
    <w:p w14:paraId="15121947" w14:textId="77777777" w:rsidR="00491823" w:rsidRPr="00E4351F" w:rsidRDefault="00491823" w:rsidP="0034587A">
      <w:pPr>
        <w:spacing w:after="120"/>
        <w:jc w:val="center"/>
        <w:rPr>
          <w:b/>
          <w:bCs/>
          <w:color w:val="002060"/>
          <w:sz w:val="24"/>
          <w:szCs w:val="24"/>
        </w:rPr>
      </w:pPr>
      <w:r w:rsidRPr="00E4351F">
        <w:rPr>
          <w:b/>
          <w:bCs/>
          <w:color w:val="002060"/>
          <w:sz w:val="24"/>
          <w:szCs w:val="24"/>
        </w:rPr>
        <w:t>Влизане в сила</w:t>
      </w:r>
    </w:p>
    <w:p w14:paraId="7260722F" w14:textId="77777777" w:rsidR="00491823" w:rsidRPr="00E4351F" w:rsidRDefault="00491823" w:rsidP="00F6001D">
      <w:pPr>
        <w:pStyle w:val="ListParagraph"/>
        <w:numPr>
          <w:ilvl w:val="0"/>
          <w:numId w:val="11"/>
        </w:numPr>
        <w:shd w:val="clear" w:color="auto" w:fill="FFFFFF"/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4351F">
        <w:rPr>
          <w:rFonts w:ascii="Times New Roman" w:hAnsi="Times New Roman" w:cs="Times New Roman"/>
          <w:sz w:val="24"/>
          <w:szCs w:val="24"/>
        </w:rPr>
        <w:t xml:space="preserve">Съгласно Решение на АСЕР 6/2017, Хармонизираните правила за разпределяне на дългосрочни преносни права и Анекса към Хармонизираните Правила за Разпределяне (HAR) за РИПС ЮИЕ с конкретни за региона Правила за разпределяне, приложими за границите на РИПС ЮИЕ, са в сила от 01.01.2019 г. </w:t>
      </w:r>
    </w:p>
    <w:p w14:paraId="79097A85" w14:textId="77777777" w:rsidR="00491823" w:rsidRPr="00E4351F" w:rsidRDefault="00491823" w:rsidP="00F6001D">
      <w:pPr>
        <w:pStyle w:val="ListParagraph"/>
        <w:numPr>
          <w:ilvl w:val="0"/>
          <w:numId w:val="11"/>
        </w:numPr>
        <w:shd w:val="clear" w:color="auto" w:fill="FFFFFF"/>
        <w:spacing w:before="120"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4351F">
        <w:rPr>
          <w:rFonts w:ascii="Times New Roman" w:hAnsi="Times New Roman" w:cs="Times New Roman"/>
          <w:sz w:val="24"/>
          <w:szCs w:val="24"/>
        </w:rPr>
        <w:t xml:space="preserve">Този Анекс, с неговите промени, влиза в сила на датата и часа, посочени в уведомлението, изпратено до регистрираните участници от платформата за разпределяне, в съответствие с приложимия национален регулаторен режим и процедурата, описана в член 68(2) на ХПР, при предварително одобрение от съответните НРО. </w:t>
      </w:r>
    </w:p>
    <w:p w14:paraId="7BAE2D7C" w14:textId="77777777" w:rsidR="00491823" w:rsidRPr="00E4351F" w:rsidRDefault="00491823" w:rsidP="00F6001D">
      <w:pPr>
        <w:pStyle w:val="ListParagraph"/>
        <w:numPr>
          <w:ilvl w:val="0"/>
          <w:numId w:val="11"/>
        </w:numPr>
        <w:shd w:val="clear" w:color="auto" w:fill="FFFFFF"/>
        <w:spacing w:before="120"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4351F">
        <w:rPr>
          <w:rFonts w:ascii="Times New Roman" w:hAnsi="Times New Roman" w:cs="Times New Roman"/>
          <w:sz w:val="24"/>
          <w:szCs w:val="24"/>
        </w:rPr>
        <w:t>Този Анекс може да бъде изменян съгласно параграфи 1 и 2 на член 68 на ХПР.</w:t>
      </w:r>
    </w:p>
    <w:p w14:paraId="6413E0E9" w14:textId="77777777" w:rsidR="00491823" w:rsidRPr="00E4351F" w:rsidRDefault="00491823" w:rsidP="00F6001D">
      <w:pPr>
        <w:pStyle w:val="ListParagraph"/>
        <w:numPr>
          <w:ilvl w:val="0"/>
          <w:numId w:val="11"/>
        </w:numPr>
        <w:shd w:val="clear" w:color="auto" w:fill="FFFFFF"/>
        <w:spacing w:before="120"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4351F">
        <w:rPr>
          <w:rFonts w:ascii="Times New Roman" w:hAnsi="Times New Roman" w:cs="Times New Roman"/>
          <w:sz w:val="24"/>
          <w:szCs w:val="24"/>
        </w:rPr>
        <w:t>Този Анекс ще бъде периодично преразглеждан съгласно параграф 5 на член 68 на ХПР.</w:t>
      </w:r>
    </w:p>
    <w:p w14:paraId="69A83604" w14:textId="77777777" w:rsidR="00491823" w:rsidRPr="00E4351F" w:rsidRDefault="00491823" w:rsidP="007C0154">
      <w:pPr>
        <w:shd w:val="clear" w:color="auto" w:fill="FFFFFF"/>
        <w:jc w:val="both"/>
        <w:rPr>
          <w:sz w:val="24"/>
          <w:szCs w:val="24"/>
          <w:lang w:val="en-US"/>
        </w:rPr>
      </w:pPr>
    </w:p>
    <w:sectPr w:rsidR="00491823" w:rsidRPr="00E4351F" w:rsidSect="006878E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A988A6" w16cid:durableId="20E55FB8"/>
  <w16cid:commentId w16cid:paraId="0394FE86" w16cid:durableId="20E970B3"/>
  <w16cid:commentId w16cid:paraId="63934CB3" w16cid:durableId="20E55FBA"/>
  <w16cid:commentId w16cid:paraId="3ADAFE22" w16cid:durableId="20E55FBC"/>
  <w16cid:commentId w16cid:paraId="4C8FF33E" w16cid:durableId="20E55FBE"/>
  <w16cid:commentId w16cid:paraId="44F4034D" w16cid:durableId="20E972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BAB75" w14:textId="77777777" w:rsidR="00E21088" w:rsidRDefault="00E21088" w:rsidP="00B04144">
      <w:r>
        <w:separator/>
      </w:r>
    </w:p>
  </w:endnote>
  <w:endnote w:type="continuationSeparator" w:id="0">
    <w:p w14:paraId="40D4106A" w14:textId="77777777" w:rsidR="00E21088" w:rsidRDefault="00E21088" w:rsidP="00B04144">
      <w:r>
        <w:continuationSeparator/>
      </w:r>
    </w:p>
  </w:endnote>
  <w:endnote w:type="continuationNotice" w:id="1">
    <w:p w14:paraId="1FBFF8A0" w14:textId="77777777" w:rsidR="00E21088" w:rsidRDefault="00E210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4712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12C900" w14:textId="7C2BFFCF" w:rsidR="00E4351F" w:rsidRDefault="00E435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03D3497" w14:textId="77777777" w:rsidR="00491823" w:rsidRPr="003D0965" w:rsidRDefault="00491823" w:rsidP="00E435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1362" w:tblpY="16132"/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923"/>
    </w:tblGrid>
    <w:tr w:rsidR="00491823" w:rsidRPr="008C7BD4" w14:paraId="072BDF0F" w14:textId="77777777">
      <w:trPr>
        <w:trHeight w:hRule="exact" w:val="284"/>
      </w:trPr>
      <w:tc>
        <w:tcPr>
          <w:tcW w:w="9923" w:type="dxa"/>
          <w:vAlign w:val="center"/>
        </w:tcPr>
        <w:p w14:paraId="59A0C17E" w14:textId="77777777" w:rsidR="00491823" w:rsidRPr="008C7BD4" w:rsidRDefault="00491823" w:rsidP="008C7BD4">
          <w:pPr>
            <w:pStyle w:val="Footer"/>
            <w:rPr>
              <w:rFonts w:ascii="Arial" w:hAnsi="Arial" w:cs="Arial"/>
              <w:sz w:val="14"/>
              <w:szCs w:val="14"/>
              <w:lang w:val="fr-FR"/>
            </w:rPr>
          </w:pPr>
        </w:p>
      </w:tc>
    </w:tr>
  </w:tbl>
  <w:p w14:paraId="39190596" w14:textId="77777777" w:rsidR="00491823" w:rsidRDefault="00491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3B3E1" w14:textId="77777777" w:rsidR="00E21088" w:rsidRDefault="00E21088" w:rsidP="00B04144">
      <w:r>
        <w:separator/>
      </w:r>
    </w:p>
  </w:footnote>
  <w:footnote w:type="continuationSeparator" w:id="0">
    <w:p w14:paraId="0686717E" w14:textId="77777777" w:rsidR="00E21088" w:rsidRDefault="00E21088" w:rsidP="00B04144">
      <w:r>
        <w:continuationSeparator/>
      </w:r>
    </w:p>
  </w:footnote>
  <w:footnote w:type="continuationNotice" w:id="1">
    <w:p w14:paraId="55EE3FD1" w14:textId="77777777" w:rsidR="00E21088" w:rsidRDefault="00E210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35105" w14:textId="6CE010C4" w:rsidR="00E4351F" w:rsidRPr="00E4351F" w:rsidRDefault="00E4351F" w:rsidP="006878EC">
    <w:pPr>
      <w:pStyle w:val="Header"/>
      <w:jc w:val="both"/>
      <w:rPr>
        <w:b/>
        <w:sz w:val="24"/>
        <w:szCs w:val="24"/>
      </w:rPr>
    </w:pPr>
    <w:r w:rsidRPr="00E4351F">
      <w:rPr>
        <w:b/>
        <w:sz w:val="24"/>
        <w:szCs w:val="24"/>
      </w:rPr>
      <w:t>ПРЕВОД</w:t>
    </w:r>
  </w:p>
  <w:p w14:paraId="28A7A7EA" w14:textId="77777777" w:rsidR="00E4351F" w:rsidRDefault="00E4351F" w:rsidP="006878EC">
    <w:pPr>
      <w:pStyle w:val="Header"/>
      <w:jc w:val="both"/>
    </w:pPr>
  </w:p>
  <w:p w14:paraId="20BA9389" w14:textId="062DDDEE" w:rsidR="006878EC" w:rsidRDefault="006878EC" w:rsidP="006878EC">
    <w:pPr>
      <w:pStyle w:val="Header"/>
      <w:jc w:val="both"/>
    </w:pPr>
    <w:r>
      <w:t>Анекс по конкретни региони за РИПС ЮИЕ към Хармонизираните правила за разпределяне на дългосрочни преносни права в съответствие с член 52 на Регламент на Комисията (ЕС) 2016/1719 от 26 септември 2016 г. за установяване на насоки за предварително разпределяне на преносната способност</w:t>
    </w:r>
  </w:p>
  <w:p w14:paraId="63E9B171" w14:textId="1390452D" w:rsidR="00491823" w:rsidRDefault="00491823" w:rsidP="003D0965">
    <w:pPr>
      <w:pStyle w:val="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FC852" w14:textId="77777777" w:rsidR="00E4351F" w:rsidRPr="00E4351F" w:rsidRDefault="00E4351F" w:rsidP="00E4351F">
    <w:pPr>
      <w:pStyle w:val="Header"/>
      <w:jc w:val="both"/>
      <w:rPr>
        <w:b/>
        <w:sz w:val="24"/>
        <w:szCs w:val="24"/>
      </w:rPr>
    </w:pPr>
    <w:r w:rsidRPr="00E4351F">
      <w:rPr>
        <w:b/>
        <w:sz w:val="24"/>
        <w:szCs w:val="24"/>
      </w:rPr>
      <w:t>ПРЕВОД</w:t>
    </w:r>
  </w:p>
  <w:p w14:paraId="01FF967F" w14:textId="77777777" w:rsidR="00E4351F" w:rsidRDefault="00E435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83E47"/>
    <w:multiLevelType w:val="hybridMultilevel"/>
    <w:tmpl w:val="01BE50C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66E9"/>
    <w:multiLevelType w:val="multilevel"/>
    <w:tmpl w:val="169CC5E8"/>
    <w:styleLink w:val="XXXtextbullets"/>
    <w:lvl w:ilvl="0">
      <w:start w:val="1"/>
      <w:numFmt w:val="bullet"/>
      <w:pStyle w:val="textbullets"/>
      <w:lvlText w:val="‒"/>
      <w:lvlJc w:val="left"/>
      <w:pPr>
        <w:ind w:left="397" w:hanging="397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‒"/>
      <w:lvlJc w:val="left"/>
      <w:pPr>
        <w:ind w:left="794" w:hanging="397"/>
      </w:pPr>
      <w:rPr>
        <w:rFonts w:ascii="Calibri" w:hAnsi="Calibri" w:cs="Calibri" w:hint="default"/>
        <w:color w:val="auto"/>
      </w:rPr>
    </w:lvl>
    <w:lvl w:ilvl="2">
      <w:start w:val="1"/>
      <w:numFmt w:val="bullet"/>
      <w:lvlText w:val="‒"/>
      <w:lvlJc w:val="left"/>
      <w:pPr>
        <w:ind w:left="1191" w:hanging="397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‒"/>
      <w:lvlJc w:val="left"/>
      <w:pPr>
        <w:ind w:left="1588" w:hanging="397"/>
      </w:pPr>
      <w:rPr>
        <w:rFonts w:ascii="Calibri" w:hAnsi="Calibri" w:cs="Calibri" w:hint="default"/>
        <w:color w:val="auto"/>
      </w:rPr>
    </w:lvl>
    <w:lvl w:ilvl="4">
      <w:start w:val="1"/>
      <w:numFmt w:val="bullet"/>
      <w:lvlText w:val="‒"/>
      <w:lvlJc w:val="left"/>
      <w:pPr>
        <w:ind w:left="1985" w:hanging="397"/>
      </w:pPr>
      <w:rPr>
        <w:rFonts w:ascii="Calibri" w:hAnsi="Calibri" w:cs="Calibri" w:hint="default"/>
        <w:color w:val="auto"/>
      </w:rPr>
    </w:lvl>
    <w:lvl w:ilvl="5">
      <w:start w:val="1"/>
      <w:numFmt w:val="bullet"/>
      <w:lvlText w:val="‒"/>
      <w:lvlJc w:val="left"/>
      <w:pPr>
        <w:ind w:left="2325" w:hanging="340"/>
      </w:pPr>
      <w:rPr>
        <w:rFonts w:ascii="Calibri" w:hAnsi="Calibri" w:cs="Calibri" w:hint="default"/>
        <w:color w:val="auto"/>
      </w:rPr>
    </w:lvl>
    <w:lvl w:ilvl="6">
      <w:start w:val="1"/>
      <w:numFmt w:val="bullet"/>
      <w:lvlText w:val="‒"/>
      <w:lvlJc w:val="left"/>
      <w:pPr>
        <w:ind w:left="2722" w:hanging="397"/>
      </w:pPr>
      <w:rPr>
        <w:rFonts w:ascii="Calibri" w:hAnsi="Calibri" w:cs="Calibri" w:hint="default"/>
        <w:color w:val="auto"/>
      </w:rPr>
    </w:lvl>
    <w:lvl w:ilvl="7">
      <w:start w:val="1"/>
      <w:numFmt w:val="bullet"/>
      <w:lvlText w:val="‒"/>
      <w:lvlJc w:val="left"/>
      <w:pPr>
        <w:ind w:left="3119" w:hanging="397"/>
      </w:pPr>
      <w:rPr>
        <w:rFonts w:ascii="Calibri" w:hAnsi="Calibri" w:cs="Calibri" w:hint="default"/>
        <w:color w:val="auto"/>
      </w:rPr>
    </w:lvl>
    <w:lvl w:ilvl="8">
      <w:start w:val="1"/>
      <w:numFmt w:val="bullet"/>
      <w:lvlText w:val="‒"/>
      <w:lvlJc w:val="left"/>
      <w:pPr>
        <w:ind w:left="3459" w:hanging="340"/>
      </w:pPr>
      <w:rPr>
        <w:rFonts w:ascii="Calibri" w:hAnsi="Calibri" w:cs="Calibri" w:hint="default"/>
        <w:color w:val="auto"/>
      </w:rPr>
    </w:lvl>
  </w:abstractNum>
  <w:abstractNum w:abstractNumId="2" w15:restartNumberingAfterBreak="0">
    <w:nsid w:val="3FA27915"/>
    <w:multiLevelType w:val="hybridMultilevel"/>
    <w:tmpl w:val="C548D8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320E5"/>
    <w:multiLevelType w:val="hybridMultilevel"/>
    <w:tmpl w:val="486CD31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5AF17F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D5C78EE"/>
    <w:multiLevelType w:val="multilevel"/>
    <w:tmpl w:val="0E80C546"/>
    <w:styleLink w:val="XXXNummerierung"/>
    <w:lvl w:ilvl="0">
      <w:start w:val="1"/>
      <w:numFmt w:val="decimal"/>
      <w:pStyle w:val="textenumeration"/>
      <w:lvlText w:val="%1."/>
      <w:lvlJc w:val="left"/>
      <w:pPr>
        <w:ind w:left="357" w:hanging="35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none"/>
      <w:lvlText w:val=""/>
      <w:lvlJc w:val="left"/>
      <w:rPr>
        <w:rFonts w:hint="default"/>
      </w:rPr>
    </w:lvl>
    <w:lvl w:ilvl="2">
      <w:start w:val="1"/>
      <w:numFmt w:val="none"/>
      <w:lvlText w:val=""/>
      <w:lvlJc w:val="left"/>
      <w:rPr>
        <w:rFonts w:hint="default"/>
      </w:rPr>
    </w:lvl>
    <w:lvl w:ilvl="3">
      <w:start w:val="1"/>
      <w:numFmt w:val="none"/>
      <w:lvlText w:val=""/>
      <w:lvlJc w:val="left"/>
      <w:rPr>
        <w:rFonts w:hint="default"/>
      </w:rPr>
    </w:lvl>
    <w:lvl w:ilvl="4">
      <w:start w:val="1"/>
      <w:numFmt w:val="none"/>
      <w:lvlText w:val=""/>
      <w:lvlJc w:val="left"/>
      <w:rPr>
        <w:rFonts w:hint="default"/>
      </w:rPr>
    </w:lvl>
    <w:lvl w:ilvl="5">
      <w:start w:val="1"/>
      <w:numFmt w:val="none"/>
      <w:lvlText w:val=""/>
      <w:lvlJc w:val="left"/>
      <w:rPr>
        <w:rFonts w:hint="default"/>
      </w:rPr>
    </w:lvl>
    <w:lvl w:ilvl="6">
      <w:start w:val="1"/>
      <w:numFmt w:val="none"/>
      <w:lvlText w:val=""/>
      <w:lvlJc w:val="left"/>
      <w:rPr>
        <w:rFonts w:hint="default"/>
      </w:rPr>
    </w:lvl>
    <w:lvl w:ilvl="7">
      <w:start w:val="1"/>
      <w:numFmt w:val="none"/>
      <w:lvlText w:val=""/>
      <w:lvlJc w:val="left"/>
      <w:rPr>
        <w:rFonts w:hint="default"/>
      </w:rPr>
    </w:lvl>
    <w:lvl w:ilvl="8">
      <w:start w:val="1"/>
      <w:numFmt w:val="none"/>
      <w:lvlText w:val=""/>
      <w:lvlJc w:val="left"/>
      <w:rPr>
        <w:rFonts w:hint="default"/>
      </w:rPr>
    </w:lvl>
  </w:abstractNum>
  <w:abstractNum w:abstractNumId="6" w15:restartNumberingAfterBreak="0">
    <w:nsid w:val="51C07BA6"/>
    <w:multiLevelType w:val="hybridMultilevel"/>
    <w:tmpl w:val="61266C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A3354"/>
    <w:multiLevelType w:val="multilevel"/>
    <w:tmpl w:val="0809001F"/>
    <w:styleLink w:val="XXX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23236E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bCs/>
        <w:i w:val="0"/>
        <w:iCs w:val="0"/>
        <w:color w:val="23236E"/>
        <w:sz w:val="28"/>
        <w:szCs w:val="28"/>
      </w:rPr>
    </w:lvl>
  </w:abstractNum>
  <w:abstractNum w:abstractNumId="8" w15:restartNumberingAfterBreak="0">
    <w:nsid w:val="5EF63C7D"/>
    <w:multiLevelType w:val="multilevel"/>
    <w:tmpl w:val="F9A00892"/>
    <w:styleLink w:val="XXXBulletList"/>
    <w:lvl w:ilvl="0">
      <w:start w:val="1"/>
      <w:numFmt w:val="bullet"/>
      <w:pStyle w:val="decisionbullet1"/>
      <w:lvlText w:val="‒"/>
      <w:lvlJc w:val="left"/>
      <w:pPr>
        <w:ind w:left="357" w:hanging="357"/>
      </w:pPr>
      <w:rPr>
        <w:rFonts w:ascii="Calibri" w:hAnsi="Calibri" w:cs="Calibri" w:hint="default"/>
        <w:color w:val="auto"/>
        <w:sz w:val="22"/>
        <w:szCs w:val="22"/>
      </w:rPr>
    </w:lvl>
    <w:lvl w:ilvl="1">
      <w:start w:val="1"/>
      <w:numFmt w:val="bullet"/>
      <w:pStyle w:val="decisionbullet2"/>
      <w:lvlText w:val="‒"/>
      <w:lvlJc w:val="left"/>
      <w:pPr>
        <w:ind w:left="374" w:hanging="17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2">
      <w:start w:val="1"/>
      <w:numFmt w:val="none"/>
      <w:lvlText w:val=""/>
      <w:lvlJc w:val="left"/>
      <w:rPr>
        <w:rFonts w:hint="default"/>
      </w:rPr>
    </w:lvl>
    <w:lvl w:ilvl="3">
      <w:start w:val="1"/>
      <w:numFmt w:val="none"/>
      <w:lvlText w:val=""/>
      <w:lvlJc w:val="left"/>
      <w:rPr>
        <w:rFonts w:hint="default"/>
      </w:rPr>
    </w:lvl>
    <w:lvl w:ilvl="4">
      <w:start w:val="1"/>
      <w:numFmt w:val="none"/>
      <w:lvlText w:val=""/>
      <w:lvlJc w:val="left"/>
      <w:rPr>
        <w:rFonts w:hint="default"/>
      </w:rPr>
    </w:lvl>
    <w:lvl w:ilvl="5">
      <w:start w:val="1"/>
      <w:numFmt w:val="none"/>
      <w:lvlText w:val=""/>
      <w:lvlJc w:val="left"/>
      <w:rPr>
        <w:rFonts w:hint="default"/>
      </w:rPr>
    </w:lvl>
    <w:lvl w:ilvl="6">
      <w:start w:val="1"/>
      <w:numFmt w:val="none"/>
      <w:lvlText w:val=""/>
      <w:lvlJc w:val="left"/>
      <w:rPr>
        <w:rFonts w:hint="default"/>
      </w:rPr>
    </w:lvl>
    <w:lvl w:ilvl="7">
      <w:start w:val="1"/>
      <w:numFmt w:val="none"/>
      <w:lvlText w:val=""/>
      <w:lvlJc w:val="left"/>
      <w:rPr>
        <w:rFonts w:hint="default"/>
      </w:rPr>
    </w:lvl>
    <w:lvl w:ilvl="8">
      <w:start w:val="1"/>
      <w:numFmt w:val="none"/>
      <w:lvlText w:val=""/>
      <w:lvlJc w:val="left"/>
      <w:rPr>
        <w:rFonts w:hint="default"/>
      </w:rPr>
    </w:lvl>
  </w:abstractNum>
  <w:abstractNum w:abstractNumId="9" w15:restartNumberingAfterBreak="0">
    <w:nsid w:val="6116554D"/>
    <w:multiLevelType w:val="hybridMultilevel"/>
    <w:tmpl w:val="B746A326"/>
    <w:lvl w:ilvl="0" w:tplc="AF781C0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A0257"/>
    <w:multiLevelType w:val="hybridMultilevel"/>
    <w:tmpl w:val="38822100"/>
    <w:lvl w:ilvl="0" w:tplc="15688E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14EE4BA4">
      <w:numFmt w:val="bullet"/>
      <w:lvlText w:val="-"/>
      <w:lvlJc w:val="left"/>
      <w:pPr>
        <w:ind w:left="2700" w:hanging="360"/>
      </w:pPr>
      <w:rPr>
        <w:rFonts w:ascii="Calibri" w:eastAsia="Times New Roman" w:hAnsi="Calibri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10"/>
  </w:num>
  <w:num w:numId="7">
    <w:abstractNumId w:val="10"/>
    <w:lvlOverride w:ilvl="0">
      <w:startOverride w:val="1"/>
    </w:lvlOverride>
  </w:num>
  <w:num w:numId="8">
    <w:abstractNumId w:val="2"/>
  </w:num>
  <w:num w:numId="9">
    <w:abstractNumId w:val="6"/>
  </w:num>
  <w:num w:numId="10">
    <w:abstractNumId w:val="3"/>
  </w:num>
  <w:num w:numId="11">
    <w:abstractNumId w:val="0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71"/>
    <w:rsid w:val="000003C2"/>
    <w:rsid w:val="0000040E"/>
    <w:rsid w:val="00000772"/>
    <w:rsid w:val="00001811"/>
    <w:rsid w:val="00004BE4"/>
    <w:rsid w:val="000059C4"/>
    <w:rsid w:val="00006456"/>
    <w:rsid w:val="00006FA9"/>
    <w:rsid w:val="000079D9"/>
    <w:rsid w:val="000118B0"/>
    <w:rsid w:val="00013390"/>
    <w:rsid w:val="00013801"/>
    <w:rsid w:val="00016057"/>
    <w:rsid w:val="00016AA1"/>
    <w:rsid w:val="00024AF8"/>
    <w:rsid w:val="00027F78"/>
    <w:rsid w:val="00030761"/>
    <w:rsid w:val="000330BD"/>
    <w:rsid w:val="00033829"/>
    <w:rsid w:val="000354BD"/>
    <w:rsid w:val="000408A9"/>
    <w:rsid w:val="00040A3A"/>
    <w:rsid w:val="00041A35"/>
    <w:rsid w:val="00043039"/>
    <w:rsid w:val="00045DEF"/>
    <w:rsid w:val="00046913"/>
    <w:rsid w:val="00046D0D"/>
    <w:rsid w:val="0004706E"/>
    <w:rsid w:val="00050760"/>
    <w:rsid w:val="000579F0"/>
    <w:rsid w:val="00057A0D"/>
    <w:rsid w:val="0006074F"/>
    <w:rsid w:val="00060C6B"/>
    <w:rsid w:val="00060FBC"/>
    <w:rsid w:val="0006467A"/>
    <w:rsid w:val="00064BB1"/>
    <w:rsid w:val="00066622"/>
    <w:rsid w:val="000724D8"/>
    <w:rsid w:val="00072DA4"/>
    <w:rsid w:val="000731A9"/>
    <w:rsid w:val="00075E57"/>
    <w:rsid w:val="000765AD"/>
    <w:rsid w:val="00084EBE"/>
    <w:rsid w:val="00085DA9"/>
    <w:rsid w:val="00087DB7"/>
    <w:rsid w:val="00095B30"/>
    <w:rsid w:val="000961F8"/>
    <w:rsid w:val="0009770C"/>
    <w:rsid w:val="000A0D42"/>
    <w:rsid w:val="000A1744"/>
    <w:rsid w:val="000A3146"/>
    <w:rsid w:val="000A40BE"/>
    <w:rsid w:val="000A601E"/>
    <w:rsid w:val="000A652F"/>
    <w:rsid w:val="000B02F1"/>
    <w:rsid w:val="000B203F"/>
    <w:rsid w:val="000B21E5"/>
    <w:rsid w:val="000B3632"/>
    <w:rsid w:val="000B3A3D"/>
    <w:rsid w:val="000C0BCE"/>
    <w:rsid w:val="000C5B6A"/>
    <w:rsid w:val="000C7181"/>
    <w:rsid w:val="000D019A"/>
    <w:rsid w:val="000D1B45"/>
    <w:rsid w:val="000D2CC6"/>
    <w:rsid w:val="000D341E"/>
    <w:rsid w:val="000D6D21"/>
    <w:rsid w:val="000E00F1"/>
    <w:rsid w:val="000E1A86"/>
    <w:rsid w:val="000E1BB6"/>
    <w:rsid w:val="000E25E1"/>
    <w:rsid w:val="000E32FA"/>
    <w:rsid w:val="000E4A77"/>
    <w:rsid w:val="000F0B1D"/>
    <w:rsid w:val="000F3B06"/>
    <w:rsid w:val="000F54C1"/>
    <w:rsid w:val="000F59C3"/>
    <w:rsid w:val="000F674C"/>
    <w:rsid w:val="000F685D"/>
    <w:rsid w:val="000F693C"/>
    <w:rsid w:val="00102B76"/>
    <w:rsid w:val="00103314"/>
    <w:rsid w:val="0010377D"/>
    <w:rsid w:val="0010498A"/>
    <w:rsid w:val="00105577"/>
    <w:rsid w:val="001066E4"/>
    <w:rsid w:val="00107374"/>
    <w:rsid w:val="00110460"/>
    <w:rsid w:val="00110FC1"/>
    <w:rsid w:val="00111642"/>
    <w:rsid w:val="00111DF2"/>
    <w:rsid w:val="00112D3B"/>
    <w:rsid w:val="001143DF"/>
    <w:rsid w:val="0011491D"/>
    <w:rsid w:val="00114BDA"/>
    <w:rsid w:val="001206D4"/>
    <w:rsid w:val="00120EEC"/>
    <w:rsid w:val="0012174D"/>
    <w:rsid w:val="00124745"/>
    <w:rsid w:val="00126B18"/>
    <w:rsid w:val="00127D1A"/>
    <w:rsid w:val="001347A8"/>
    <w:rsid w:val="00136D9F"/>
    <w:rsid w:val="00140291"/>
    <w:rsid w:val="00142363"/>
    <w:rsid w:val="00143E63"/>
    <w:rsid w:val="00143F91"/>
    <w:rsid w:val="00147626"/>
    <w:rsid w:val="00147BED"/>
    <w:rsid w:val="00150A3A"/>
    <w:rsid w:val="00150B72"/>
    <w:rsid w:val="00152CAE"/>
    <w:rsid w:val="00156CDC"/>
    <w:rsid w:val="00160131"/>
    <w:rsid w:val="00161070"/>
    <w:rsid w:val="00161366"/>
    <w:rsid w:val="00162B68"/>
    <w:rsid w:val="00163012"/>
    <w:rsid w:val="00163422"/>
    <w:rsid w:val="0016641C"/>
    <w:rsid w:val="0017303B"/>
    <w:rsid w:val="00174315"/>
    <w:rsid w:val="00174C39"/>
    <w:rsid w:val="00175F82"/>
    <w:rsid w:val="00176536"/>
    <w:rsid w:val="001765F5"/>
    <w:rsid w:val="0018041D"/>
    <w:rsid w:val="00181888"/>
    <w:rsid w:val="0018540A"/>
    <w:rsid w:val="0018585D"/>
    <w:rsid w:val="00190F85"/>
    <w:rsid w:val="00193051"/>
    <w:rsid w:val="001939EE"/>
    <w:rsid w:val="00194DBE"/>
    <w:rsid w:val="0019547A"/>
    <w:rsid w:val="001956CA"/>
    <w:rsid w:val="001A0FF4"/>
    <w:rsid w:val="001A1990"/>
    <w:rsid w:val="001A2075"/>
    <w:rsid w:val="001A29FC"/>
    <w:rsid w:val="001A3B31"/>
    <w:rsid w:val="001A42D7"/>
    <w:rsid w:val="001A55A2"/>
    <w:rsid w:val="001A7031"/>
    <w:rsid w:val="001A76E9"/>
    <w:rsid w:val="001B10B3"/>
    <w:rsid w:val="001B298E"/>
    <w:rsid w:val="001B3D67"/>
    <w:rsid w:val="001B6ACF"/>
    <w:rsid w:val="001B7E06"/>
    <w:rsid w:val="001C0F8F"/>
    <w:rsid w:val="001C1AF0"/>
    <w:rsid w:val="001C42E0"/>
    <w:rsid w:val="001C4F2E"/>
    <w:rsid w:val="001D19A7"/>
    <w:rsid w:val="001D3462"/>
    <w:rsid w:val="001D41D8"/>
    <w:rsid w:val="001D41FD"/>
    <w:rsid w:val="001D5DA3"/>
    <w:rsid w:val="001D733B"/>
    <w:rsid w:val="001E0116"/>
    <w:rsid w:val="001E2016"/>
    <w:rsid w:val="001E21E3"/>
    <w:rsid w:val="001E2776"/>
    <w:rsid w:val="001E4021"/>
    <w:rsid w:val="001E46EC"/>
    <w:rsid w:val="001E6525"/>
    <w:rsid w:val="001E6C3A"/>
    <w:rsid w:val="001E792D"/>
    <w:rsid w:val="001E7F0F"/>
    <w:rsid w:val="001F09FA"/>
    <w:rsid w:val="001F0F4E"/>
    <w:rsid w:val="001F36D6"/>
    <w:rsid w:val="001F69B5"/>
    <w:rsid w:val="00206D90"/>
    <w:rsid w:val="002107C2"/>
    <w:rsid w:val="0021474E"/>
    <w:rsid w:val="002228BD"/>
    <w:rsid w:val="00224DC2"/>
    <w:rsid w:val="00225010"/>
    <w:rsid w:val="002309D3"/>
    <w:rsid w:val="002312AC"/>
    <w:rsid w:val="002341CF"/>
    <w:rsid w:val="00236627"/>
    <w:rsid w:val="00236C4B"/>
    <w:rsid w:val="0024169C"/>
    <w:rsid w:val="002417A3"/>
    <w:rsid w:val="002433F5"/>
    <w:rsid w:val="0024495E"/>
    <w:rsid w:val="0024660C"/>
    <w:rsid w:val="00247DBB"/>
    <w:rsid w:val="002542E9"/>
    <w:rsid w:val="00254E78"/>
    <w:rsid w:val="0025665E"/>
    <w:rsid w:val="00256DF0"/>
    <w:rsid w:val="00260AEB"/>
    <w:rsid w:val="002613D9"/>
    <w:rsid w:val="00267BD7"/>
    <w:rsid w:val="00270373"/>
    <w:rsid w:val="00270823"/>
    <w:rsid w:val="0027115B"/>
    <w:rsid w:val="00272786"/>
    <w:rsid w:val="002732D5"/>
    <w:rsid w:val="0027786A"/>
    <w:rsid w:val="00277AA5"/>
    <w:rsid w:val="0028125C"/>
    <w:rsid w:val="00282151"/>
    <w:rsid w:val="002856BC"/>
    <w:rsid w:val="00285B00"/>
    <w:rsid w:val="00285C19"/>
    <w:rsid w:val="00290A52"/>
    <w:rsid w:val="0029256D"/>
    <w:rsid w:val="002933C1"/>
    <w:rsid w:val="002947EA"/>
    <w:rsid w:val="002950FF"/>
    <w:rsid w:val="002A0B08"/>
    <w:rsid w:val="002A1E40"/>
    <w:rsid w:val="002A4168"/>
    <w:rsid w:val="002B272C"/>
    <w:rsid w:val="002B2DB1"/>
    <w:rsid w:val="002B3B7B"/>
    <w:rsid w:val="002C668E"/>
    <w:rsid w:val="002D0803"/>
    <w:rsid w:val="002D140D"/>
    <w:rsid w:val="002D2455"/>
    <w:rsid w:val="002D2872"/>
    <w:rsid w:val="002D2E12"/>
    <w:rsid w:val="002D322B"/>
    <w:rsid w:val="002D47C5"/>
    <w:rsid w:val="002D499D"/>
    <w:rsid w:val="002E3273"/>
    <w:rsid w:val="002E44CD"/>
    <w:rsid w:val="002E470A"/>
    <w:rsid w:val="002E752A"/>
    <w:rsid w:val="002F1147"/>
    <w:rsid w:val="002F1DFF"/>
    <w:rsid w:val="002F1F41"/>
    <w:rsid w:val="002F20F9"/>
    <w:rsid w:val="002F32A9"/>
    <w:rsid w:val="002F5EFD"/>
    <w:rsid w:val="002F6842"/>
    <w:rsid w:val="003000B2"/>
    <w:rsid w:val="00301DC5"/>
    <w:rsid w:val="003025D1"/>
    <w:rsid w:val="003049B1"/>
    <w:rsid w:val="00311CBC"/>
    <w:rsid w:val="00311E4E"/>
    <w:rsid w:val="003234FA"/>
    <w:rsid w:val="00325086"/>
    <w:rsid w:val="00330365"/>
    <w:rsid w:val="003314D0"/>
    <w:rsid w:val="00332CC9"/>
    <w:rsid w:val="00341096"/>
    <w:rsid w:val="003444FB"/>
    <w:rsid w:val="00344C99"/>
    <w:rsid w:val="0034587A"/>
    <w:rsid w:val="00347B71"/>
    <w:rsid w:val="00352E0A"/>
    <w:rsid w:val="00355D73"/>
    <w:rsid w:val="003567B8"/>
    <w:rsid w:val="0035703A"/>
    <w:rsid w:val="003616D4"/>
    <w:rsid w:val="003619E1"/>
    <w:rsid w:val="00361DB5"/>
    <w:rsid w:val="00367938"/>
    <w:rsid w:val="0037168F"/>
    <w:rsid w:val="00375CC7"/>
    <w:rsid w:val="00376731"/>
    <w:rsid w:val="0037768B"/>
    <w:rsid w:val="0038017C"/>
    <w:rsid w:val="0038029D"/>
    <w:rsid w:val="003846DA"/>
    <w:rsid w:val="0038669D"/>
    <w:rsid w:val="003919B3"/>
    <w:rsid w:val="003921B3"/>
    <w:rsid w:val="00392E34"/>
    <w:rsid w:val="00393864"/>
    <w:rsid w:val="00393DE7"/>
    <w:rsid w:val="003A008C"/>
    <w:rsid w:val="003A354D"/>
    <w:rsid w:val="003A5A63"/>
    <w:rsid w:val="003A67E9"/>
    <w:rsid w:val="003A69A8"/>
    <w:rsid w:val="003A741F"/>
    <w:rsid w:val="003A79A5"/>
    <w:rsid w:val="003B012B"/>
    <w:rsid w:val="003B09A7"/>
    <w:rsid w:val="003B18A2"/>
    <w:rsid w:val="003B2B80"/>
    <w:rsid w:val="003B39E3"/>
    <w:rsid w:val="003B4442"/>
    <w:rsid w:val="003B63CE"/>
    <w:rsid w:val="003C1787"/>
    <w:rsid w:val="003C1EE0"/>
    <w:rsid w:val="003C20F1"/>
    <w:rsid w:val="003C32C5"/>
    <w:rsid w:val="003C5152"/>
    <w:rsid w:val="003C74DB"/>
    <w:rsid w:val="003C7FF4"/>
    <w:rsid w:val="003D0965"/>
    <w:rsid w:val="003D0E89"/>
    <w:rsid w:val="003D10A3"/>
    <w:rsid w:val="003D15CA"/>
    <w:rsid w:val="003D2A99"/>
    <w:rsid w:val="003D4C07"/>
    <w:rsid w:val="003D5000"/>
    <w:rsid w:val="003D68E6"/>
    <w:rsid w:val="003E1E93"/>
    <w:rsid w:val="003E4A51"/>
    <w:rsid w:val="003E4D3B"/>
    <w:rsid w:val="003E7350"/>
    <w:rsid w:val="003E7600"/>
    <w:rsid w:val="003F24DC"/>
    <w:rsid w:val="003F36CF"/>
    <w:rsid w:val="003F495C"/>
    <w:rsid w:val="003F55AE"/>
    <w:rsid w:val="00401221"/>
    <w:rsid w:val="004012B9"/>
    <w:rsid w:val="00402D18"/>
    <w:rsid w:val="004104C5"/>
    <w:rsid w:val="00410A3C"/>
    <w:rsid w:val="00410D7E"/>
    <w:rsid w:val="00411C65"/>
    <w:rsid w:val="00412498"/>
    <w:rsid w:val="00413FD1"/>
    <w:rsid w:val="004165C6"/>
    <w:rsid w:val="004213F3"/>
    <w:rsid w:val="00421B3E"/>
    <w:rsid w:val="00421B64"/>
    <w:rsid w:val="00423207"/>
    <w:rsid w:val="00423E1A"/>
    <w:rsid w:val="004271F5"/>
    <w:rsid w:val="00432569"/>
    <w:rsid w:val="00432FF7"/>
    <w:rsid w:val="0043566C"/>
    <w:rsid w:val="00443380"/>
    <w:rsid w:val="004456C1"/>
    <w:rsid w:val="00451474"/>
    <w:rsid w:val="00451B9E"/>
    <w:rsid w:val="0045447A"/>
    <w:rsid w:val="00456FE7"/>
    <w:rsid w:val="0045717D"/>
    <w:rsid w:val="00461A70"/>
    <w:rsid w:val="00461AED"/>
    <w:rsid w:val="0046373A"/>
    <w:rsid w:val="00464898"/>
    <w:rsid w:val="00465A9A"/>
    <w:rsid w:val="0046624A"/>
    <w:rsid w:val="00472180"/>
    <w:rsid w:val="004721F0"/>
    <w:rsid w:val="00474874"/>
    <w:rsid w:val="00474E1F"/>
    <w:rsid w:val="00475A02"/>
    <w:rsid w:val="00475CC8"/>
    <w:rsid w:val="00477570"/>
    <w:rsid w:val="00477ACD"/>
    <w:rsid w:val="00482216"/>
    <w:rsid w:val="00482734"/>
    <w:rsid w:val="004833EE"/>
    <w:rsid w:val="00484660"/>
    <w:rsid w:val="00484B64"/>
    <w:rsid w:val="0048638E"/>
    <w:rsid w:val="00490789"/>
    <w:rsid w:val="00491823"/>
    <w:rsid w:val="00495694"/>
    <w:rsid w:val="00497954"/>
    <w:rsid w:val="00497F48"/>
    <w:rsid w:val="004A014C"/>
    <w:rsid w:val="004A06AE"/>
    <w:rsid w:val="004A1355"/>
    <w:rsid w:val="004A3371"/>
    <w:rsid w:val="004A717B"/>
    <w:rsid w:val="004A7262"/>
    <w:rsid w:val="004B0150"/>
    <w:rsid w:val="004B4D5F"/>
    <w:rsid w:val="004B6993"/>
    <w:rsid w:val="004B768D"/>
    <w:rsid w:val="004C419B"/>
    <w:rsid w:val="004C68C2"/>
    <w:rsid w:val="004D01CB"/>
    <w:rsid w:val="004D13D7"/>
    <w:rsid w:val="004D2955"/>
    <w:rsid w:val="004D6309"/>
    <w:rsid w:val="004D73CD"/>
    <w:rsid w:val="004D7415"/>
    <w:rsid w:val="004D7594"/>
    <w:rsid w:val="004D7879"/>
    <w:rsid w:val="004E119F"/>
    <w:rsid w:val="004E5A6A"/>
    <w:rsid w:val="004E65B5"/>
    <w:rsid w:val="00501B7F"/>
    <w:rsid w:val="00501D42"/>
    <w:rsid w:val="00502354"/>
    <w:rsid w:val="00504A30"/>
    <w:rsid w:val="00505E1C"/>
    <w:rsid w:val="00506FDF"/>
    <w:rsid w:val="0050775B"/>
    <w:rsid w:val="0051409F"/>
    <w:rsid w:val="0051440A"/>
    <w:rsid w:val="005243E8"/>
    <w:rsid w:val="00525545"/>
    <w:rsid w:val="00527CCA"/>
    <w:rsid w:val="00531B89"/>
    <w:rsid w:val="005336DE"/>
    <w:rsid w:val="00534F83"/>
    <w:rsid w:val="0053705D"/>
    <w:rsid w:val="005435D0"/>
    <w:rsid w:val="00543840"/>
    <w:rsid w:val="00543CA7"/>
    <w:rsid w:val="00544B00"/>
    <w:rsid w:val="00545DC3"/>
    <w:rsid w:val="00547043"/>
    <w:rsid w:val="005524B7"/>
    <w:rsid w:val="00552C72"/>
    <w:rsid w:val="005545D3"/>
    <w:rsid w:val="00557284"/>
    <w:rsid w:val="00557332"/>
    <w:rsid w:val="00561A56"/>
    <w:rsid w:val="00562B36"/>
    <w:rsid w:val="0056329C"/>
    <w:rsid w:val="0056352E"/>
    <w:rsid w:val="005663C7"/>
    <w:rsid w:val="00570817"/>
    <w:rsid w:val="00577318"/>
    <w:rsid w:val="005815EC"/>
    <w:rsid w:val="0058491B"/>
    <w:rsid w:val="00585827"/>
    <w:rsid w:val="005860DD"/>
    <w:rsid w:val="005869A7"/>
    <w:rsid w:val="00590A19"/>
    <w:rsid w:val="00591734"/>
    <w:rsid w:val="005926F6"/>
    <w:rsid w:val="005928BC"/>
    <w:rsid w:val="00594508"/>
    <w:rsid w:val="00594E2C"/>
    <w:rsid w:val="00596105"/>
    <w:rsid w:val="00597024"/>
    <w:rsid w:val="005A0220"/>
    <w:rsid w:val="005A311E"/>
    <w:rsid w:val="005A403B"/>
    <w:rsid w:val="005A4D38"/>
    <w:rsid w:val="005A5DC8"/>
    <w:rsid w:val="005B03D4"/>
    <w:rsid w:val="005B2444"/>
    <w:rsid w:val="005B3EB0"/>
    <w:rsid w:val="005B4820"/>
    <w:rsid w:val="005B7D05"/>
    <w:rsid w:val="005C0557"/>
    <w:rsid w:val="005C0746"/>
    <w:rsid w:val="005C0AAA"/>
    <w:rsid w:val="005C5B18"/>
    <w:rsid w:val="005C5FDC"/>
    <w:rsid w:val="005C758B"/>
    <w:rsid w:val="005D068C"/>
    <w:rsid w:val="005D3FB8"/>
    <w:rsid w:val="005D519E"/>
    <w:rsid w:val="005D6C82"/>
    <w:rsid w:val="005E04B7"/>
    <w:rsid w:val="005E5A07"/>
    <w:rsid w:val="005E5B74"/>
    <w:rsid w:val="005F1F7C"/>
    <w:rsid w:val="005F334C"/>
    <w:rsid w:val="005F4F37"/>
    <w:rsid w:val="006014D6"/>
    <w:rsid w:val="00602BB7"/>
    <w:rsid w:val="0060540C"/>
    <w:rsid w:val="0060799D"/>
    <w:rsid w:val="00611B5F"/>
    <w:rsid w:val="0061396C"/>
    <w:rsid w:val="006157B9"/>
    <w:rsid w:val="0062175F"/>
    <w:rsid w:val="00622ABC"/>
    <w:rsid w:val="00623B44"/>
    <w:rsid w:val="006244A4"/>
    <w:rsid w:val="00625462"/>
    <w:rsid w:val="00626CF6"/>
    <w:rsid w:val="006308D4"/>
    <w:rsid w:val="006366CE"/>
    <w:rsid w:val="006421F0"/>
    <w:rsid w:val="0064250C"/>
    <w:rsid w:val="0064345A"/>
    <w:rsid w:val="00646F0E"/>
    <w:rsid w:val="006476C4"/>
    <w:rsid w:val="00647FAE"/>
    <w:rsid w:val="00647FDB"/>
    <w:rsid w:val="00651571"/>
    <w:rsid w:val="00654600"/>
    <w:rsid w:val="00656B9A"/>
    <w:rsid w:val="00657741"/>
    <w:rsid w:val="006610C6"/>
    <w:rsid w:val="00661CBA"/>
    <w:rsid w:val="0066298E"/>
    <w:rsid w:val="0066321D"/>
    <w:rsid w:val="0066440A"/>
    <w:rsid w:val="006651C9"/>
    <w:rsid w:val="0066578A"/>
    <w:rsid w:val="00670334"/>
    <w:rsid w:val="0067038F"/>
    <w:rsid w:val="00671273"/>
    <w:rsid w:val="006715A7"/>
    <w:rsid w:val="006740CC"/>
    <w:rsid w:val="0067620B"/>
    <w:rsid w:val="00680D83"/>
    <w:rsid w:val="0068264A"/>
    <w:rsid w:val="0068276C"/>
    <w:rsid w:val="00682AEC"/>
    <w:rsid w:val="00683D0F"/>
    <w:rsid w:val="0068581D"/>
    <w:rsid w:val="006878EC"/>
    <w:rsid w:val="00690CFD"/>
    <w:rsid w:val="006912D0"/>
    <w:rsid w:val="00693939"/>
    <w:rsid w:val="0069470B"/>
    <w:rsid w:val="00696EBB"/>
    <w:rsid w:val="00697BA9"/>
    <w:rsid w:val="006A049A"/>
    <w:rsid w:val="006A1313"/>
    <w:rsid w:val="006A27F6"/>
    <w:rsid w:val="006A4DF4"/>
    <w:rsid w:val="006A5182"/>
    <w:rsid w:val="006A71EA"/>
    <w:rsid w:val="006B033B"/>
    <w:rsid w:val="006B27E5"/>
    <w:rsid w:val="006B34F1"/>
    <w:rsid w:val="006B4ACE"/>
    <w:rsid w:val="006B69FD"/>
    <w:rsid w:val="006B7341"/>
    <w:rsid w:val="006B7816"/>
    <w:rsid w:val="006B7C21"/>
    <w:rsid w:val="006C15E3"/>
    <w:rsid w:val="006C21E5"/>
    <w:rsid w:val="006C22DC"/>
    <w:rsid w:val="006C37C6"/>
    <w:rsid w:val="006C40AB"/>
    <w:rsid w:val="006C51B3"/>
    <w:rsid w:val="006C7716"/>
    <w:rsid w:val="006D10F7"/>
    <w:rsid w:val="006D29DD"/>
    <w:rsid w:val="006D450C"/>
    <w:rsid w:val="006E00F4"/>
    <w:rsid w:val="006E5ADB"/>
    <w:rsid w:val="006E6C17"/>
    <w:rsid w:val="006E7EA7"/>
    <w:rsid w:val="006E7EF4"/>
    <w:rsid w:val="006F0D49"/>
    <w:rsid w:val="006F407A"/>
    <w:rsid w:val="006F5F01"/>
    <w:rsid w:val="006F610D"/>
    <w:rsid w:val="006F63BB"/>
    <w:rsid w:val="006F7146"/>
    <w:rsid w:val="00700104"/>
    <w:rsid w:val="00703E9A"/>
    <w:rsid w:val="007124EB"/>
    <w:rsid w:val="00715F40"/>
    <w:rsid w:val="00717C4C"/>
    <w:rsid w:val="00717C96"/>
    <w:rsid w:val="00720BD0"/>
    <w:rsid w:val="0072317A"/>
    <w:rsid w:val="0072447F"/>
    <w:rsid w:val="00725A7E"/>
    <w:rsid w:val="00727D9F"/>
    <w:rsid w:val="00730421"/>
    <w:rsid w:val="00730C3E"/>
    <w:rsid w:val="00733667"/>
    <w:rsid w:val="0073636E"/>
    <w:rsid w:val="007400E0"/>
    <w:rsid w:val="0074057E"/>
    <w:rsid w:val="00741409"/>
    <w:rsid w:val="00742223"/>
    <w:rsid w:val="0074242A"/>
    <w:rsid w:val="0074457E"/>
    <w:rsid w:val="0074524E"/>
    <w:rsid w:val="0074542B"/>
    <w:rsid w:val="00745E9F"/>
    <w:rsid w:val="00747351"/>
    <w:rsid w:val="007570AE"/>
    <w:rsid w:val="007604FF"/>
    <w:rsid w:val="007610DF"/>
    <w:rsid w:val="007644C1"/>
    <w:rsid w:val="00764F1C"/>
    <w:rsid w:val="0076645F"/>
    <w:rsid w:val="00770845"/>
    <w:rsid w:val="00773B62"/>
    <w:rsid w:val="00780951"/>
    <w:rsid w:val="00780ED1"/>
    <w:rsid w:val="007833AC"/>
    <w:rsid w:val="00786BD8"/>
    <w:rsid w:val="00787007"/>
    <w:rsid w:val="007904DC"/>
    <w:rsid w:val="00792A99"/>
    <w:rsid w:val="007A37F2"/>
    <w:rsid w:val="007A3AB2"/>
    <w:rsid w:val="007A686E"/>
    <w:rsid w:val="007A71A7"/>
    <w:rsid w:val="007A7640"/>
    <w:rsid w:val="007B1193"/>
    <w:rsid w:val="007B5446"/>
    <w:rsid w:val="007B7451"/>
    <w:rsid w:val="007C0154"/>
    <w:rsid w:val="007C046F"/>
    <w:rsid w:val="007C26D7"/>
    <w:rsid w:val="007C39B2"/>
    <w:rsid w:val="007C5B09"/>
    <w:rsid w:val="007C6E8B"/>
    <w:rsid w:val="007C7052"/>
    <w:rsid w:val="007D2999"/>
    <w:rsid w:val="007D3FC6"/>
    <w:rsid w:val="007D590C"/>
    <w:rsid w:val="007D5CD8"/>
    <w:rsid w:val="007D7222"/>
    <w:rsid w:val="007D75C0"/>
    <w:rsid w:val="007D7FD3"/>
    <w:rsid w:val="007E07A5"/>
    <w:rsid w:val="007E1355"/>
    <w:rsid w:val="007E6984"/>
    <w:rsid w:val="007F2A54"/>
    <w:rsid w:val="007F31DD"/>
    <w:rsid w:val="007F3F2A"/>
    <w:rsid w:val="007F4229"/>
    <w:rsid w:val="007F4B9D"/>
    <w:rsid w:val="007F4F0D"/>
    <w:rsid w:val="007F4F2A"/>
    <w:rsid w:val="007F5E95"/>
    <w:rsid w:val="007F5FE8"/>
    <w:rsid w:val="007F6078"/>
    <w:rsid w:val="007F62C0"/>
    <w:rsid w:val="00800A15"/>
    <w:rsid w:val="00801342"/>
    <w:rsid w:val="00802022"/>
    <w:rsid w:val="00802DCB"/>
    <w:rsid w:val="00803A68"/>
    <w:rsid w:val="00803FEC"/>
    <w:rsid w:val="00806BAE"/>
    <w:rsid w:val="008078DC"/>
    <w:rsid w:val="00807CA3"/>
    <w:rsid w:val="00813C12"/>
    <w:rsid w:val="008153A9"/>
    <w:rsid w:val="008243A6"/>
    <w:rsid w:val="00827013"/>
    <w:rsid w:val="0084146D"/>
    <w:rsid w:val="00841893"/>
    <w:rsid w:val="00841F19"/>
    <w:rsid w:val="00845105"/>
    <w:rsid w:val="008458A1"/>
    <w:rsid w:val="0085182E"/>
    <w:rsid w:val="00851DB6"/>
    <w:rsid w:val="008530AD"/>
    <w:rsid w:val="00857538"/>
    <w:rsid w:val="00857638"/>
    <w:rsid w:val="00861DA8"/>
    <w:rsid w:val="00863662"/>
    <w:rsid w:val="00863C01"/>
    <w:rsid w:val="00864206"/>
    <w:rsid w:val="00865584"/>
    <w:rsid w:val="00866952"/>
    <w:rsid w:val="0087089F"/>
    <w:rsid w:val="008715F6"/>
    <w:rsid w:val="00871CC4"/>
    <w:rsid w:val="008803E1"/>
    <w:rsid w:val="00881240"/>
    <w:rsid w:val="008849B5"/>
    <w:rsid w:val="008878DA"/>
    <w:rsid w:val="00892D0C"/>
    <w:rsid w:val="00896F83"/>
    <w:rsid w:val="008A0685"/>
    <w:rsid w:val="008A21B2"/>
    <w:rsid w:val="008A253A"/>
    <w:rsid w:val="008A5A44"/>
    <w:rsid w:val="008B1F24"/>
    <w:rsid w:val="008B34B1"/>
    <w:rsid w:val="008B5814"/>
    <w:rsid w:val="008C038C"/>
    <w:rsid w:val="008C44BA"/>
    <w:rsid w:val="008C4D21"/>
    <w:rsid w:val="008C5780"/>
    <w:rsid w:val="008C5801"/>
    <w:rsid w:val="008C6790"/>
    <w:rsid w:val="008C7BD4"/>
    <w:rsid w:val="008D169F"/>
    <w:rsid w:val="008D1D6F"/>
    <w:rsid w:val="008D2F17"/>
    <w:rsid w:val="008D3F8E"/>
    <w:rsid w:val="008D4ED6"/>
    <w:rsid w:val="008D5926"/>
    <w:rsid w:val="008D681F"/>
    <w:rsid w:val="008D71B7"/>
    <w:rsid w:val="008E166F"/>
    <w:rsid w:val="008E281C"/>
    <w:rsid w:val="008E2AA0"/>
    <w:rsid w:val="008E516D"/>
    <w:rsid w:val="008E55C6"/>
    <w:rsid w:val="008E6F79"/>
    <w:rsid w:val="008E72BA"/>
    <w:rsid w:val="008E7C2D"/>
    <w:rsid w:val="008F2C57"/>
    <w:rsid w:val="008F3BAB"/>
    <w:rsid w:val="008F3DCB"/>
    <w:rsid w:val="008F4A42"/>
    <w:rsid w:val="008F657B"/>
    <w:rsid w:val="008F7EA0"/>
    <w:rsid w:val="00900A84"/>
    <w:rsid w:val="00901C1B"/>
    <w:rsid w:val="009020D4"/>
    <w:rsid w:val="00903B95"/>
    <w:rsid w:val="009042A7"/>
    <w:rsid w:val="00904356"/>
    <w:rsid w:val="00904E2B"/>
    <w:rsid w:val="00906140"/>
    <w:rsid w:val="00906285"/>
    <w:rsid w:val="00907970"/>
    <w:rsid w:val="00911461"/>
    <w:rsid w:val="00911CF4"/>
    <w:rsid w:val="0091720A"/>
    <w:rsid w:val="009222B9"/>
    <w:rsid w:val="00922A3D"/>
    <w:rsid w:val="00922A58"/>
    <w:rsid w:val="009261AD"/>
    <w:rsid w:val="00926984"/>
    <w:rsid w:val="00930526"/>
    <w:rsid w:val="00930801"/>
    <w:rsid w:val="00931EBA"/>
    <w:rsid w:val="00935823"/>
    <w:rsid w:val="00936A07"/>
    <w:rsid w:val="00937FCB"/>
    <w:rsid w:val="00945CC5"/>
    <w:rsid w:val="00946A07"/>
    <w:rsid w:val="00957EAD"/>
    <w:rsid w:val="00960938"/>
    <w:rsid w:val="00961B52"/>
    <w:rsid w:val="00962EFE"/>
    <w:rsid w:val="009713DB"/>
    <w:rsid w:val="00971770"/>
    <w:rsid w:val="00972020"/>
    <w:rsid w:val="009722FE"/>
    <w:rsid w:val="009746CB"/>
    <w:rsid w:val="00975EE4"/>
    <w:rsid w:val="00977D67"/>
    <w:rsid w:val="00983B15"/>
    <w:rsid w:val="00987ED4"/>
    <w:rsid w:val="0099378F"/>
    <w:rsid w:val="009946C8"/>
    <w:rsid w:val="009963CF"/>
    <w:rsid w:val="00996F63"/>
    <w:rsid w:val="00997F8D"/>
    <w:rsid w:val="009A1949"/>
    <w:rsid w:val="009A24DD"/>
    <w:rsid w:val="009A349A"/>
    <w:rsid w:val="009A479F"/>
    <w:rsid w:val="009A5917"/>
    <w:rsid w:val="009A5C60"/>
    <w:rsid w:val="009A6BAB"/>
    <w:rsid w:val="009A7214"/>
    <w:rsid w:val="009A7CA3"/>
    <w:rsid w:val="009B0E98"/>
    <w:rsid w:val="009B32CA"/>
    <w:rsid w:val="009B4E8D"/>
    <w:rsid w:val="009B54E6"/>
    <w:rsid w:val="009C0B37"/>
    <w:rsid w:val="009C2318"/>
    <w:rsid w:val="009C28B1"/>
    <w:rsid w:val="009C7294"/>
    <w:rsid w:val="009C77EB"/>
    <w:rsid w:val="009D0CF2"/>
    <w:rsid w:val="009D2756"/>
    <w:rsid w:val="009E130C"/>
    <w:rsid w:val="009E238C"/>
    <w:rsid w:val="009E4304"/>
    <w:rsid w:val="009E7790"/>
    <w:rsid w:val="009E7E02"/>
    <w:rsid w:val="009E7F1F"/>
    <w:rsid w:val="009F3B2E"/>
    <w:rsid w:val="009F42CD"/>
    <w:rsid w:val="009F7D83"/>
    <w:rsid w:val="00A063D5"/>
    <w:rsid w:val="00A11F7D"/>
    <w:rsid w:val="00A140C6"/>
    <w:rsid w:val="00A14A83"/>
    <w:rsid w:val="00A165A9"/>
    <w:rsid w:val="00A22435"/>
    <w:rsid w:val="00A23294"/>
    <w:rsid w:val="00A251C6"/>
    <w:rsid w:val="00A263AF"/>
    <w:rsid w:val="00A26526"/>
    <w:rsid w:val="00A26FBF"/>
    <w:rsid w:val="00A304A9"/>
    <w:rsid w:val="00A323BE"/>
    <w:rsid w:val="00A33BCE"/>
    <w:rsid w:val="00A3564A"/>
    <w:rsid w:val="00A379FF"/>
    <w:rsid w:val="00A40894"/>
    <w:rsid w:val="00A40B92"/>
    <w:rsid w:val="00A41668"/>
    <w:rsid w:val="00A429BF"/>
    <w:rsid w:val="00A50654"/>
    <w:rsid w:val="00A51CAB"/>
    <w:rsid w:val="00A54746"/>
    <w:rsid w:val="00A60144"/>
    <w:rsid w:val="00A61838"/>
    <w:rsid w:val="00A61A0C"/>
    <w:rsid w:val="00A64A8E"/>
    <w:rsid w:val="00A65034"/>
    <w:rsid w:val="00A66D30"/>
    <w:rsid w:val="00A67D26"/>
    <w:rsid w:val="00A703B9"/>
    <w:rsid w:val="00A70B14"/>
    <w:rsid w:val="00A7116D"/>
    <w:rsid w:val="00A711F2"/>
    <w:rsid w:val="00A75DCB"/>
    <w:rsid w:val="00A77470"/>
    <w:rsid w:val="00A80539"/>
    <w:rsid w:val="00A82029"/>
    <w:rsid w:val="00A82744"/>
    <w:rsid w:val="00A8613A"/>
    <w:rsid w:val="00A926C0"/>
    <w:rsid w:val="00A92C55"/>
    <w:rsid w:val="00A93EC7"/>
    <w:rsid w:val="00A94145"/>
    <w:rsid w:val="00A96485"/>
    <w:rsid w:val="00A97B33"/>
    <w:rsid w:val="00AA013B"/>
    <w:rsid w:val="00AA0D34"/>
    <w:rsid w:val="00AA44BB"/>
    <w:rsid w:val="00AA47FB"/>
    <w:rsid w:val="00AA626E"/>
    <w:rsid w:val="00AA6847"/>
    <w:rsid w:val="00AA6BF2"/>
    <w:rsid w:val="00AA76AF"/>
    <w:rsid w:val="00AB1EC9"/>
    <w:rsid w:val="00AC0A33"/>
    <w:rsid w:val="00AC2A64"/>
    <w:rsid w:val="00AC3FF6"/>
    <w:rsid w:val="00AC6146"/>
    <w:rsid w:val="00AC6915"/>
    <w:rsid w:val="00AD083F"/>
    <w:rsid w:val="00AD0FB8"/>
    <w:rsid w:val="00AD2C7B"/>
    <w:rsid w:val="00AD39EF"/>
    <w:rsid w:val="00AD4F63"/>
    <w:rsid w:val="00AE38EE"/>
    <w:rsid w:val="00AE4556"/>
    <w:rsid w:val="00AE5520"/>
    <w:rsid w:val="00AE7E6E"/>
    <w:rsid w:val="00AF06B7"/>
    <w:rsid w:val="00AF1B1B"/>
    <w:rsid w:val="00AF1EDA"/>
    <w:rsid w:val="00AF2C44"/>
    <w:rsid w:val="00AF5C4B"/>
    <w:rsid w:val="00AF6A82"/>
    <w:rsid w:val="00B00F62"/>
    <w:rsid w:val="00B035C4"/>
    <w:rsid w:val="00B03A22"/>
    <w:rsid w:val="00B03FC5"/>
    <w:rsid w:val="00B04144"/>
    <w:rsid w:val="00B0467E"/>
    <w:rsid w:val="00B04B0D"/>
    <w:rsid w:val="00B05A35"/>
    <w:rsid w:val="00B07EEE"/>
    <w:rsid w:val="00B07EF0"/>
    <w:rsid w:val="00B12FA3"/>
    <w:rsid w:val="00B131B4"/>
    <w:rsid w:val="00B208D9"/>
    <w:rsid w:val="00B20BBF"/>
    <w:rsid w:val="00B22315"/>
    <w:rsid w:val="00B30CDC"/>
    <w:rsid w:val="00B30D59"/>
    <w:rsid w:val="00B31837"/>
    <w:rsid w:val="00B33372"/>
    <w:rsid w:val="00B33EDF"/>
    <w:rsid w:val="00B34A1E"/>
    <w:rsid w:val="00B352BD"/>
    <w:rsid w:val="00B36519"/>
    <w:rsid w:val="00B36E0E"/>
    <w:rsid w:val="00B40DFE"/>
    <w:rsid w:val="00B42C94"/>
    <w:rsid w:val="00B42F90"/>
    <w:rsid w:val="00B4344D"/>
    <w:rsid w:val="00B50A58"/>
    <w:rsid w:val="00B51EF7"/>
    <w:rsid w:val="00B566B7"/>
    <w:rsid w:val="00B5799F"/>
    <w:rsid w:val="00B60B10"/>
    <w:rsid w:val="00B61E6C"/>
    <w:rsid w:val="00B66BF0"/>
    <w:rsid w:val="00B7012E"/>
    <w:rsid w:val="00B70758"/>
    <w:rsid w:val="00B72FDB"/>
    <w:rsid w:val="00B759DC"/>
    <w:rsid w:val="00B80FC2"/>
    <w:rsid w:val="00B83250"/>
    <w:rsid w:val="00B83BFB"/>
    <w:rsid w:val="00B855A5"/>
    <w:rsid w:val="00B9411C"/>
    <w:rsid w:val="00BA0039"/>
    <w:rsid w:val="00BA005E"/>
    <w:rsid w:val="00BA4D2F"/>
    <w:rsid w:val="00BA67DA"/>
    <w:rsid w:val="00BA68B0"/>
    <w:rsid w:val="00BB0152"/>
    <w:rsid w:val="00BB0F63"/>
    <w:rsid w:val="00BB2FB1"/>
    <w:rsid w:val="00BC10C7"/>
    <w:rsid w:val="00BC1679"/>
    <w:rsid w:val="00BC1F1B"/>
    <w:rsid w:val="00BC4C32"/>
    <w:rsid w:val="00BD040A"/>
    <w:rsid w:val="00BD718F"/>
    <w:rsid w:val="00BE023F"/>
    <w:rsid w:val="00BE1281"/>
    <w:rsid w:val="00BE2B3B"/>
    <w:rsid w:val="00BE39DD"/>
    <w:rsid w:val="00BE4E03"/>
    <w:rsid w:val="00BE5B5D"/>
    <w:rsid w:val="00BE6CAF"/>
    <w:rsid w:val="00BE77DF"/>
    <w:rsid w:val="00BF0B65"/>
    <w:rsid w:val="00BF208C"/>
    <w:rsid w:val="00BF2970"/>
    <w:rsid w:val="00BF549A"/>
    <w:rsid w:val="00C0019C"/>
    <w:rsid w:val="00C04465"/>
    <w:rsid w:val="00C05269"/>
    <w:rsid w:val="00C05370"/>
    <w:rsid w:val="00C05665"/>
    <w:rsid w:val="00C10822"/>
    <w:rsid w:val="00C1117E"/>
    <w:rsid w:val="00C12BB2"/>
    <w:rsid w:val="00C13B46"/>
    <w:rsid w:val="00C16BCF"/>
    <w:rsid w:val="00C16FA5"/>
    <w:rsid w:val="00C2008A"/>
    <w:rsid w:val="00C21D5B"/>
    <w:rsid w:val="00C234D4"/>
    <w:rsid w:val="00C23E1A"/>
    <w:rsid w:val="00C251AA"/>
    <w:rsid w:val="00C2694D"/>
    <w:rsid w:val="00C27B99"/>
    <w:rsid w:val="00C30184"/>
    <w:rsid w:val="00C3439B"/>
    <w:rsid w:val="00C345AB"/>
    <w:rsid w:val="00C362D9"/>
    <w:rsid w:val="00C367B7"/>
    <w:rsid w:val="00C40B8C"/>
    <w:rsid w:val="00C40D8B"/>
    <w:rsid w:val="00C41801"/>
    <w:rsid w:val="00C42532"/>
    <w:rsid w:val="00C475E8"/>
    <w:rsid w:val="00C47B17"/>
    <w:rsid w:val="00C526B7"/>
    <w:rsid w:val="00C56F72"/>
    <w:rsid w:val="00C6283D"/>
    <w:rsid w:val="00C62BE7"/>
    <w:rsid w:val="00C6436F"/>
    <w:rsid w:val="00C70F6D"/>
    <w:rsid w:val="00C71DA8"/>
    <w:rsid w:val="00C7244E"/>
    <w:rsid w:val="00C812D1"/>
    <w:rsid w:val="00C8192B"/>
    <w:rsid w:val="00C81F0C"/>
    <w:rsid w:val="00C82405"/>
    <w:rsid w:val="00C842B3"/>
    <w:rsid w:val="00C84980"/>
    <w:rsid w:val="00C85B5C"/>
    <w:rsid w:val="00C87707"/>
    <w:rsid w:val="00C90241"/>
    <w:rsid w:val="00C97484"/>
    <w:rsid w:val="00C97B7F"/>
    <w:rsid w:val="00CA2917"/>
    <w:rsid w:val="00CA6077"/>
    <w:rsid w:val="00CA64CE"/>
    <w:rsid w:val="00CA65AA"/>
    <w:rsid w:val="00CA72DB"/>
    <w:rsid w:val="00CA77E5"/>
    <w:rsid w:val="00CB11B2"/>
    <w:rsid w:val="00CB14AB"/>
    <w:rsid w:val="00CB5E13"/>
    <w:rsid w:val="00CC08DC"/>
    <w:rsid w:val="00CC42C7"/>
    <w:rsid w:val="00CC502B"/>
    <w:rsid w:val="00CC5D63"/>
    <w:rsid w:val="00CC6EA8"/>
    <w:rsid w:val="00CC7B09"/>
    <w:rsid w:val="00CD009F"/>
    <w:rsid w:val="00CD1FED"/>
    <w:rsid w:val="00CD2DBA"/>
    <w:rsid w:val="00CD4EA9"/>
    <w:rsid w:val="00CD6841"/>
    <w:rsid w:val="00CD7873"/>
    <w:rsid w:val="00CE077C"/>
    <w:rsid w:val="00CE2393"/>
    <w:rsid w:val="00CE36D1"/>
    <w:rsid w:val="00CE3907"/>
    <w:rsid w:val="00CE3C63"/>
    <w:rsid w:val="00CE4424"/>
    <w:rsid w:val="00CF00A3"/>
    <w:rsid w:val="00CF0AEE"/>
    <w:rsid w:val="00CF1993"/>
    <w:rsid w:val="00CF2FED"/>
    <w:rsid w:val="00CF383E"/>
    <w:rsid w:val="00CF619E"/>
    <w:rsid w:val="00CF6245"/>
    <w:rsid w:val="00CF7865"/>
    <w:rsid w:val="00CF7F44"/>
    <w:rsid w:val="00D00D05"/>
    <w:rsid w:val="00D034AD"/>
    <w:rsid w:val="00D15E17"/>
    <w:rsid w:val="00D226CB"/>
    <w:rsid w:val="00D23411"/>
    <w:rsid w:val="00D23BC1"/>
    <w:rsid w:val="00D2477D"/>
    <w:rsid w:val="00D25A41"/>
    <w:rsid w:val="00D25B07"/>
    <w:rsid w:val="00D26C85"/>
    <w:rsid w:val="00D31469"/>
    <w:rsid w:val="00D34C3D"/>
    <w:rsid w:val="00D36E7C"/>
    <w:rsid w:val="00D43900"/>
    <w:rsid w:val="00D4423D"/>
    <w:rsid w:val="00D469B0"/>
    <w:rsid w:val="00D4713F"/>
    <w:rsid w:val="00D5151B"/>
    <w:rsid w:val="00D51A6D"/>
    <w:rsid w:val="00D52562"/>
    <w:rsid w:val="00D52D64"/>
    <w:rsid w:val="00D551F2"/>
    <w:rsid w:val="00D55694"/>
    <w:rsid w:val="00D567C1"/>
    <w:rsid w:val="00D60BCF"/>
    <w:rsid w:val="00D6124B"/>
    <w:rsid w:val="00D61919"/>
    <w:rsid w:val="00D64867"/>
    <w:rsid w:val="00D6500E"/>
    <w:rsid w:val="00D7362C"/>
    <w:rsid w:val="00D76682"/>
    <w:rsid w:val="00D77C90"/>
    <w:rsid w:val="00D833AD"/>
    <w:rsid w:val="00D8352C"/>
    <w:rsid w:val="00D83D78"/>
    <w:rsid w:val="00D85C5D"/>
    <w:rsid w:val="00D90217"/>
    <w:rsid w:val="00D907E1"/>
    <w:rsid w:val="00D9176D"/>
    <w:rsid w:val="00D939BE"/>
    <w:rsid w:val="00D9486F"/>
    <w:rsid w:val="00D96757"/>
    <w:rsid w:val="00D97120"/>
    <w:rsid w:val="00D97D21"/>
    <w:rsid w:val="00DA3E09"/>
    <w:rsid w:val="00DA3F99"/>
    <w:rsid w:val="00DA4876"/>
    <w:rsid w:val="00DA60A0"/>
    <w:rsid w:val="00DA7926"/>
    <w:rsid w:val="00DB0160"/>
    <w:rsid w:val="00DB3352"/>
    <w:rsid w:val="00DB439C"/>
    <w:rsid w:val="00DB4639"/>
    <w:rsid w:val="00DB4D83"/>
    <w:rsid w:val="00DB618B"/>
    <w:rsid w:val="00DB6E50"/>
    <w:rsid w:val="00DB6EE4"/>
    <w:rsid w:val="00DB733A"/>
    <w:rsid w:val="00DC147F"/>
    <w:rsid w:val="00DC3C81"/>
    <w:rsid w:val="00DC6271"/>
    <w:rsid w:val="00DC6A85"/>
    <w:rsid w:val="00DD0B06"/>
    <w:rsid w:val="00DD0F5F"/>
    <w:rsid w:val="00DD1408"/>
    <w:rsid w:val="00DD56C8"/>
    <w:rsid w:val="00DD5FC6"/>
    <w:rsid w:val="00DD66E8"/>
    <w:rsid w:val="00DD6BDC"/>
    <w:rsid w:val="00DD7B1F"/>
    <w:rsid w:val="00DE0701"/>
    <w:rsid w:val="00DE0C31"/>
    <w:rsid w:val="00DE56A3"/>
    <w:rsid w:val="00DE7350"/>
    <w:rsid w:val="00DE75CA"/>
    <w:rsid w:val="00DE7C0A"/>
    <w:rsid w:val="00DF0491"/>
    <w:rsid w:val="00DF15CD"/>
    <w:rsid w:val="00DF2380"/>
    <w:rsid w:val="00DF6879"/>
    <w:rsid w:val="00E00281"/>
    <w:rsid w:val="00E0511E"/>
    <w:rsid w:val="00E0657C"/>
    <w:rsid w:val="00E10EE9"/>
    <w:rsid w:val="00E11BDB"/>
    <w:rsid w:val="00E21088"/>
    <w:rsid w:val="00E246A8"/>
    <w:rsid w:val="00E2501C"/>
    <w:rsid w:val="00E30D30"/>
    <w:rsid w:val="00E3141E"/>
    <w:rsid w:val="00E327BA"/>
    <w:rsid w:val="00E33703"/>
    <w:rsid w:val="00E41B31"/>
    <w:rsid w:val="00E4278C"/>
    <w:rsid w:val="00E4351F"/>
    <w:rsid w:val="00E4496D"/>
    <w:rsid w:val="00E46FC2"/>
    <w:rsid w:val="00E50477"/>
    <w:rsid w:val="00E5285A"/>
    <w:rsid w:val="00E55E25"/>
    <w:rsid w:val="00E56314"/>
    <w:rsid w:val="00E569BE"/>
    <w:rsid w:val="00E57E30"/>
    <w:rsid w:val="00E61B20"/>
    <w:rsid w:val="00E659F2"/>
    <w:rsid w:val="00E665A8"/>
    <w:rsid w:val="00E7480B"/>
    <w:rsid w:val="00E749D5"/>
    <w:rsid w:val="00E801ED"/>
    <w:rsid w:val="00E80C3B"/>
    <w:rsid w:val="00E81266"/>
    <w:rsid w:val="00E82CAF"/>
    <w:rsid w:val="00E84C0E"/>
    <w:rsid w:val="00E84F95"/>
    <w:rsid w:val="00E9305D"/>
    <w:rsid w:val="00E93582"/>
    <w:rsid w:val="00E93B72"/>
    <w:rsid w:val="00E958D5"/>
    <w:rsid w:val="00E966A5"/>
    <w:rsid w:val="00E96D29"/>
    <w:rsid w:val="00E97709"/>
    <w:rsid w:val="00EA10B7"/>
    <w:rsid w:val="00EA1B40"/>
    <w:rsid w:val="00EA413E"/>
    <w:rsid w:val="00EA4C2D"/>
    <w:rsid w:val="00EA51FE"/>
    <w:rsid w:val="00EA7DB9"/>
    <w:rsid w:val="00EB0588"/>
    <w:rsid w:val="00EB1DFD"/>
    <w:rsid w:val="00EB1E40"/>
    <w:rsid w:val="00EB3011"/>
    <w:rsid w:val="00EB4950"/>
    <w:rsid w:val="00EB4E26"/>
    <w:rsid w:val="00EB530C"/>
    <w:rsid w:val="00EB5BD6"/>
    <w:rsid w:val="00EB62F0"/>
    <w:rsid w:val="00EC02C0"/>
    <w:rsid w:val="00EC05EE"/>
    <w:rsid w:val="00EC2CA3"/>
    <w:rsid w:val="00EC32AF"/>
    <w:rsid w:val="00EC36A7"/>
    <w:rsid w:val="00EC393E"/>
    <w:rsid w:val="00EC63C3"/>
    <w:rsid w:val="00ED052D"/>
    <w:rsid w:val="00ED0C1C"/>
    <w:rsid w:val="00ED2490"/>
    <w:rsid w:val="00ED4CA8"/>
    <w:rsid w:val="00ED4FAB"/>
    <w:rsid w:val="00ED72A8"/>
    <w:rsid w:val="00EE0CF7"/>
    <w:rsid w:val="00EE1691"/>
    <w:rsid w:val="00EE1B88"/>
    <w:rsid w:val="00EE46B2"/>
    <w:rsid w:val="00EE5DA0"/>
    <w:rsid w:val="00EE5EB4"/>
    <w:rsid w:val="00EE68EE"/>
    <w:rsid w:val="00EE7A9A"/>
    <w:rsid w:val="00EF10F3"/>
    <w:rsid w:val="00EF1373"/>
    <w:rsid w:val="00EF2ACE"/>
    <w:rsid w:val="00EF2D2E"/>
    <w:rsid w:val="00EF3551"/>
    <w:rsid w:val="00EF35F4"/>
    <w:rsid w:val="00EF4A42"/>
    <w:rsid w:val="00EF5E77"/>
    <w:rsid w:val="00EF6F32"/>
    <w:rsid w:val="00EF7EA5"/>
    <w:rsid w:val="00F004A8"/>
    <w:rsid w:val="00F008D7"/>
    <w:rsid w:val="00F01598"/>
    <w:rsid w:val="00F016B3"/>
    <w:rsid w:val="00F06B36"/>
    <w:rsid w:val="00F10679"/>
    <w:rsid w:val="00F140AD"/>
    <w:rsid w:val="00F15859"/>
    <w:rsid w:val="00F1736A"/>
    <w:rsid w:val="00F17639"/>
    <w:rsid w:val="00F2121C"/>
    <w:rsid w:val="00F212CB"/>
    <w:rsid w:val="00F24CC1"/>
    <w:rsid w:val="00F25868"/>
    <w:rsid w:val="00F26515"/>
    <w:rsid w:val="00F27CF6"/>
    <w:rsid w:val="00F30D1A"/>
    <w:rsid w:val="00F312D1"/>
    <w:rsid w:val="00F32510"/>
    <w:rsid w:val="00F345EE"/>
    <w:rsid w:val="00F356A9"/>
    <w:rsid w:val="00F359E7"/>
    <w:rsid w:val="00F35FED"/>
    <w:rsid w:val="00F420AF"/>
    <w:rsid w:val="00F42667"/>
    <w:rsid w:val="00F43286"/>
    <w:rsid w:val="00F4331C"/>
    <w:rsid w:val="00F433A8"/>
    <w:rsid w:val="00F44473"/>
    <w:rsid w:val="00F46084"/>
    <w:rsid w:val="00F46C18"/>
    <w:rsid w:val="00F47444"/>
    <w:rsid w:val="00F50A6D"/>
    <w:rsid w:val="00F514D1"/>
    <w:rsid w:val="00F54108"/>
    <w:rsid w:val="00F57E25"/>
    <w:rsid w:val="00F6001D"/>
    <w:rsid w:val="00F60169"/>
    <w:rsid w:val="00F60F25"/>
    <w:rsid w:val="00F61A9C"/>
    <w:rsid w:val="00F62110"/>
    <w:rsid w:val="00F62A00"/>
    <w:rsid w:val="00F63589"/>
    <w:rsid w:val="00F64210"/>
    <w:rsid w:val="00F66A14"/>
    <w:rsid w:val="00F67240"/>
    <w:rsid w:val="00F7088B"/>
    <w:rsid w:val="00F70CB2"/>
    <w:rsid w:val="00F73C95"/>
    <w:rsid w:val="00F74BCF"/>
    <w:rsid w:val="00F80655"/>
    <w:rsid w:val="00F838B8"/>
    <w:rsid w:val="00F83E17"/>
    <w:rsid w:val="00F90498"/>
    <w:rsid w:val="00F964F4"/>
    <w:rsid w:val="00F96F2D"/>
    <w:rsid w:val="00F9734D"/>
    <w:rsid w:val="00F97372"/>
    <w:rsid w:val="00F977CE"/>
    <w:rsid w:val="00FA0B59"/>
    <w:rsid w:val="00FA2B6F"/>
    <w:rsid w:val="00FA4C96"/>
    <w:rsid w:val="00FA5A0A"/>
    <w:rsid w:val="00FA5EF8"/>
    <w:rsid w:val="00FA775B"/>
    <w:rsid w:val="00FB341A"/>
    <w:rsid w:val="00FB5B10"/>
    <w:rsid w:val="00FC1F81"/>
    <w:rsid w:val="00FC3061"/>
    <w:rsid w:val="00FC4486"/>
    <w:rsid w:val="00FC4561"/>
    <w:rsid w:val="00FC4A38"/>
    <w:rsid w:val="00FC5C53"/>
    <w:rsid w:val="00FC66D4"/>
    <w:rsid w:val="00FC6F32"/>
    <w:rsid w:val="00FC7E90"/>
    <w:rsid w:val="00FD13B1"/>
    <w:rsid w:val="00FD2297"/>
    <w:rsid w:val="00FD2F59"/>
    <w:rsid w:val="00FD38DE"/>
    <w:rsid w:val="00FD6B9A"/>
    <w:rsid w:val="00FD7BEA"/>
    <w:rsid w:val="00FE0011"/>
    <w:rsid w:val="00FE05EB"/>
    <w:rsid w:val="00FE4676"/>
    <w:rsid w:val="00FF170E"/>
    <w:rsid w:val="00FF2F1D"/>
    <w:rsid w:val="00FF5716"/>
    <w:rsid w:val="00FF7A47"/>
    <w:rsid w:val="3F68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3257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52"/>
  </w:style>
  <w:style w:type="paragraph" w:styleId="Heading1">
    <w:name w:val="heading 1"/>
    <w:basedOn w:val="Normal"/>
    <w:next w:val="Normal"/>
    <w:link w:val="Heading1Char"/>
    <w:uiPriority w:val="99"/>
    <w:qFormat/>
    <w:rsid w:val="004B6993"/>
    <w:pPr>
      <w:keepNext/>
      <w:keepLines/>
      <w:spacing w:before="480"/>
      <w:outlineLvl w:val="0"/>
    </w:pPr>
    <w:rPr>
      <w:rFonts w:ascii="Arial" w:hAnsi="Arial" w:cs="Arial"/>
      <w:b/>
      <w:bCs/>
      <w:color w:val="424477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4B6993"/>
    <w:rPr>
      <w:rFonts w:ascii="Arial" w:hAnsi="Arial" w:cs="Arial"/>
      <w:b/>
      <w:bCs/>
      <w:color w:val="424477"/>
      <w:sz w:val="28"/>
      <w:szCs w:val="28"/>
    </w:rPr>
  </w:style>
  <w:style w:type="table" w:styleId="TableGrid">
    <w:name w:val="Table Grid"/>
    <w:basedOn w:val="TableNormal"/>
    <w:uiPriority w:val="99"/>
    <w:rsid w:val="007F4F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regular">
    <w:name w:val="text regular"/>
    <w:basedOn w:val="Normal"/>
    <w:uiPriority w:val="99"/>
    <w:rsid w:val="00F46084"/>
    <w:pPr>
      <w:spacing w:after="120"/>
    </w:pPr>
  </w:style>
  <w:style w:type="paragraph" w:styleId="Header">
    <w:name w:val="header"/>
    <w:basedOn w:val="Normal"/>
    <w:link w:val="HeaderChar"/>
    <w:uiPriority w:val="99"/>
    <w:rsid w:val="00B041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04144"/>
  </w:style>
  <w:style w:type="paragraph" w:styleId="Footer">
    <w:name w:val="footer"/>
    <w:basedOn w:val="Normal"/>
    <w:link w:val="FooterChar"/>
    <w:uiPriority w:val="99"/>
    <w:rsid w:val="00B041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009F"/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rsid w:val="00B04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4144"/>
    <w:rPr>
      <w:rFonts w:ascii="Tahoma" w:hAnsi="Tahoma" w:cs="Tahoma"/>
      <w:sz w:val="16"/>
      <w:szCs w:val="16"/>
    </w:rPr>
  </w:style>
  <w:style w:type="paragraph" w:customStyle="1" w:styleId="headlineheader">
    <w:name w:val="headline header"/>
    <w:basedOn w:val="textregular"/>
    <w:uiPriority w:val="99"/>
    <w:rsid w:val="007A686E"/>
    <w:pPr>
      <w:spacing w:after="280" w:line="600" w:lineRule="exact"/>
    </w:pPr>
    <w:rPr>
      <w:rFonts w:ascii="Arial" w:hAnsi="Arial" w:cs="Arial"/>
      <w:b/>
      <w:bCs/>
      <w:color w:val="23236E"/>
      <w:sz w:val="57"/>
      <w:szCs w:val="57"/>
    </w:rPr>
  </w:style>
  <w:style w:type="paragraph" w:customStyle="1" w:styleId="textheader">
    <w:name w:val="text header"/>
    <w:basedOn w:val="textregular"/>
    <w:uiPriority w:val="99"/>
    <w:rsid w:val="00B30D59"/>
    <w:pPr>
      <w:spacing w:after="400" w:line="500" w:lineRule="exact"/>
    </w:pPr>
    <w:rPr>
      <w:rFonts w:ascii="Arial" w:hAnsi="Arial" w:cs="Arial"/>
      <w:color w:val="23236E"/>
      <w:sz w:val="40"/>
      <w:szCs w:val="40"/>
    </w:rPr>
  </w:style>
  <w:style w:type="paragraph" w:customStyle="1" w:styleId="time">
    <w:name w:val="time"/>
    <w:basedOn w:val="textregular"/>
    <w:uiPriority w:val="99"/>
    <w:rsid w:val="007A686E"/>
    <w:pPr>
      <w:framePr w:hSpace="142" w:vSpace="5528" w:wrap="auto" w:vAnchor="page" w:hAnchor="page" w:x="1362" w:y="5104"/>
      <w:spacing w:after="0" w:line="320" w:lineRule="exact"/>
    </w:pPr>
    <w:rPr>
      <w:rFonts w:ascii="Arial" w:hAnsi="Arial" w:cs="Arial"/>
      <w:sz w:val="29"/>
      <w:szCs w:val="29"/>
    </w:rPr>
  </w:style>
  <w:style w:type="character" w:styleId="PlaceholderText">
    <w:name w:val="Placeholder Text"/>
    <w:basedOn w:val="DefaultParagraphFont"/>
    <w:uiPriority w:val="99"/>
    <w:semiHidden/>
    <w:rsid w:val="00903B95"/>
    <w:rPr>
      <w:color w:val="808080"/>
    </w:rPr>
  </w:style>
  <w:style w:type="paragraph" w:customStyle="1" w:styleId="headline1">
    <w:name w:val="headline 1"/>
    <w:basedOn w:val="textregular"/>
    <w:uiPriority w:val="99"/>
    <w:rsid w:val="000F693C"/>
    <w:pPr>
      <w:spacing w:before="400" w:line="340" w:lineRule="exact"/>
      <w:outlineLvl w:val="0"/>
    </w:pPr>
    <w:rPr>
      <w:rFonts w:ascii="Arial" w:hAnsi="Arial" w:cs="Arial"/>
      <w:b/>
      <w:bCs/>
      <w:color w:val="23236E"/>
      <w:sz w:val="28"/>
      <w:szCs w:val="28"/>
    </w:rPr>
  </w:style>
  <w:style w:type="paragraph" w:styleId="TOC1">
    <w:name w:val="toc 1"/>
    <w:basedOn w:val="Normal"/>
    <w:next w:val="Normal"/>
    <w:autoRedefine/>
    <w:uiPriority w:val="99"/>
    <w:semiHidden/>
    <w:rsid w:val="00CC7B09"/>
    <w:pPr>
      <w:tabs>
        <w:tab w:val="right" w:leader="dot" w:pos="9514"/>
      </w:tabs>
      <w:spacing w:after="100"/>
    </w:pPr>
    <w:rPr>
      <w:rFonts w:ascii="Arial" w:hAnsi="Arial" w:cs="Arial"/>
    </w:rPr>
  </w:style>
  <w:style w:type="paragraph" w:styleId="TOCHeading">
    <w:name w:val="TOC Heading"/>
    <w:basedOn w:val="Heading1"/>
    <w:next w:val="Normal"/>
    <w:uiPriority w:val="99"/>
    <w:qFormat/>
    <w:rsid w:val="004B6993"/>
    <w:pPr>
      <w:spacing w:line="276" w:lineRule="auto"/>
      <w:outlineLvl w:val="9"/>
    </w:pPr>
  </w:style>
  <w:style w:type="character" w:styleId="Hyperlink">
    <w:name w:val="Hyperlink"/>
    <w:basedOn w:val="DefaultParagraphFont"/>
    <w:uiPriority w:val="99"/>
    <w:rsid w:val="0099378F"/>
    <w:rPr>
      <w:color w:val="0000FF"/>
      <w:u w:val="single"/>
    </w:rPr>
  </w:style>
  <w:style w:type="paragraph" w:customStyle="1" w:styleId="decisionhead">
    <w:name w:val="decision head"/>
    <w:basedOn w:val="textregular"/>
    <w:uiPriority w:val="99"/>
    <w:rsid w:val="00CD009F"/>
    <w:pPr>
      <w:pBdr>
        <w:top w:val="single" w:sz="24" w:space="1" w:color="B4B4C8"/>
        <w:left w:val="single" w:sz="24" w:space="4" w:color="B4B4C8"/>
        <w:bottom w:val="single" w:sz="24" w:space="1" w:color="B4B4C8"/>
        <w:right w:val="single" w:sz="24" w:space="4" w:color="B4B4C8"/>
      </w:pBdr>
      <w:shd w:val="clear" w:color="auto" w:fill="B4B4C8"/>
      <w:spacing w:after="0" w:line="260" w:lineRule="exact"/>
      <w:ind w:left="170" w:right="170"/>
    </w:pPr>
    <w:rPr>
      <w:rFonts w:ascii="Arial" w:hAnsi="Arial" w:cs="Arial"/>
      <w:b/>
      <w:bCs/>
      <w:color w:val="23236E"/>
      <w:sz w:val="24"/>
      <w:szCs w:val="24"/>
    </w:rPr>
  </w:style>
  <w:style w:type="paragraph" w:customStyle="1" w:styleId="decisionbullet1">
    <w:name w:val="decision bullet 1"/>
    <w:basedOn w:val="textregular"/>
    <w:uiPriority w:val="99"/>
    <w:rsid w:val="00CD009F"/>
    <w:pPr>
      <w:numPr>
        <w:numId w:val="2"/>
      </w:numPr>
      <w:pBdr>
        <w:top w:val="single" w:sz="24" w:space="0" w:color="B4B4C8"/>
        <w:left w:val="single" w:sz="24" w:space="4" w:color="B4B4C8"/>
        <w:bottom w:val="single" w:sz="24" w:space="0" w:color="B4B4C8"/>
        <w:right w:val="single" w:sz="24" w:space="4" w:color="B4B4C8"/>
      </w:pBdr>
      <w:shd w:val="clear" w:color="auto" w:fill="B4B4C8"/>
      <w:spacing w:after="0"/>
      <w:ind w:left="499" w:right="170"/>
    </w:pPr>
  </w:style>
  <w:style w:type="paragraph" w:customStyle="1" w:styleId="decisionbullet2">
    <w:name w:val="decision bullet 2"/>
    <w:basedOn w:val="textregular"/>
    <w:uiPriority w:val="99"/>
    <w:rsid w:val="00B30D59"/>
    <w:pPr>
      <w:numPr>
        <w:ilvl w:val="1"/>
        <w:numId w:val="2"/>
      </w:numPr>
      <w:pBdr>
        <w:top w:val="single" w:sz="24" w:space="1" w:color="B4B4C8"/>
        <w:left w:val="single" w:sz="24" w:space="21" w:color="B4B4C8"/>
        <w:bottom w:val="single" w:sz="24" w:space="1" w:color="B4B4C8"/>
        <w:right w:val="single" w:sz="24" w:space="4" w:color="B4B4C8"/>
      </w:pBdr>
      <w:shd w:val="clear" w:color="auto" w:fill="B4B4C8"/>
      <w:spacing w:after="0"/>
      <w:ind w:left="851" w:right="170" w:hanging="369"/>
    </w:pPr>
  </w:style>
  <w:style w:type="paragraph" w:customStyle="1" w:styleId="headline3">
    <w:name w:val="headline 3"/>
    <w:basedOn w:val="textregular"/>
    <w:uiPriority w:val="99"/>
    <w:rsid w:val="000F693C"/>
    <w:pPr>
      <w:spacing w:after="20"/>
      <w:outlineLvl w:val="2"/>
    </w:pPr>
    <w:rPr>
      <w:b/>
      <w:bCs/>
    </w:rPr>
  </w:style>
  <w:style w:type="paragraph" w:customStyle="1" w:styleId="textenumeration">
    <w:name w:val="text enumeration"/>
    <w:basedOn w:val="textregular"/>
    <w:uiPriority w:val="99"/>
    <w:rsid w:val="00E7480B"/>
    <w:pPr>
      <w:numPr>
        <w:numId w:val="3"/>
      </w:numPr>
    </w:pPr>
  </w:style>
  <w:style w:type="paragraph" w:customStyle="1" w:styleId="headline2">
    <w:name w:val="headline 2"/>
    <w:basedOn w:val="textregular"/>
    <w:uiPriority w:val="99"/>
    <w:rsid w:val="000F693C"/>
    <w:pPr>
      <w:spacing w:line="260" w:lineRule="exact"/>
      <w:outlineLvl w:val="1"/>
    </w:pPr>
    <w:rPr>
      <w:rFonts w:ascii="Arial" w:hAnsi="Arial" w:cs="Arial"/>
      <w:b/>
      <w:bCs/>
      <w:color w:val="23236E"/>
      <w:sz w:val="24"/>
      <w:szCs w:val="24"/>
    </w:rPr>
  </w:style>
  <w:style w:type="paragraph" w:customStyle="1" w:styleId="textbullets">
    <w:name w:val="text bullets"/>
    <w:basedOn w:val="textregular"/>
    <w:uiPriority w:val="99"/>
    <w:rsid w:val="000961F8"/>
    <w:pPr>
      <w:numPr>
        <w:numId w:val="4"/>
      </w:numPr>
    </w:pPr>
  </w:style>
  <w:style w:type="table" w:customStyle="1" w:styleId="EntsoeeinfacheTabelle">
    <w:name w:val="Entsoe | einfache Tabelle"/>
    <w:uiPriority w:val="99"/>
    <w:rsid w:val="00922A3D"/>
    <w:rPr>
      <w:sz w:val="20"/>
      <w:szCs w:val="20"/>
      <w:lang w:eastAsia="el-GR"/>
    </w:rPr>
    <w:tblPr>
      <w:tblStyleRowBandSize w:val="1"/>
      <w:tblBorders>
        <w:insideV w:val="single" w:sz="12" w:space="0" w:color="FFFFFF"/>
      </w:tblBorders>
      <w:tblCellMar>
        <w:top w:w="28" w:type="dxa"/>
        <w:left w:w="108" w:type="dxa"/>
        <w:bottom w:w="0" w:type="dxa"/>
        <w:right w:w="108" w:type="dxa"/>
      </w:tblCellMar>
    </w:tblPr>
    <w:tblStylePr w:type="firstRow">
      <w:pPr>
        <w:spacing w:afterLines="0" w:afterAutospacing="0" w:line="340" w:lineRule="exact"/>
      </w:pPr>
      <w:rPr>
        <w:rFonts w:ascii="Arial" w:hAnsi="Arial" w:cs="Arial"/>
        <w:b/>
        <w:bCs/>
        <w:color w:val="23236E"/>
        <w:sz w:val="28"/>
        <w:szCs w:val="28"/>
      </w:rPr>
    </w:tblStylePr>
    <w:tblStylePr w:type="band1Horz">
      <w:tblPr/>
      <w:tcPr>
        <w:shd w:val="clear" w:color="auto" w:fill="D9D9D9"/>
      </w:tcPr>
    </w:tblStylePr>
  </w:style>
  <w:style w:type="paragraph" w:customStyle="1" w:styleId="footnote1">
    <w:name w:val="footnote 1"/>
    <w:basedOn w:val="textregular"/>
    <w:uiPriority w:val="99"/>
    <w:rsid w:val="007E6984"/>
    <w:pPr>
      <w:pBdr>
        <w:top w:val="single" w:sz="8" w:space="11" w:color="auto"/>
      </w:pBdr>
      <w:spacing w:after="0"/>
    </w:pPr>
    <w:rPr>
      <w:sz w:val="19"/>
      <w:szCs w:val="19"/>
    </w:rPr>
  </w:style>
  <w:style w:type="paragraph" w:customStyle="1" w:styleId="footnote2">
    <w:name w:val="footnote 2"/>
    <w:basedOn w:val="textregular"/>
    <w:uiPriority w:val="99"/>
    <w:rsid w:val="007E6984"/>
    <w:pPr>
      <w:spacing w:after="0"/>
    </w:pPr>
    <w:rPr>
      <w:sz w:val="19"/>
      <w:szCs w:val="19"/>
    </w:rPr>
  </w:style>
  <w:style w:type="paragraph" w:styleId="TOC3">
    <w:name w:val="toc 3"/>
    <w:basedOn w:val="Normal"/>
    <w:next w:val="Normal"/>
    <w:autoRedefine/>
    <w:uiPriority w:val="99"/>
    <w:semiHidden/>
    <w:rsid w:val="000F693C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99"/>
    <w:semiHidden/>
    <w:rsid w:val="000F693C"/>
    <w:pPr>
      <w:spacing w:after="100"/>
      <w:ind w:left="220"/>
    </w:pPr>
  </w:style>
  <w:style w:type="paragraph" w:styleId="ListParagraph">
    <w:name w:val="List Paragraph"/>
    <w:aliases w:val="F List Paragraph"/>
    <w:basedOn w:val="Normal"/>
    <w:link w:val="ListParagraphChar"/>
    <w:uiPriority w:val="99"/>
    <w:qFormat/>
    <w:rsid w:val="00ED0C1C"/>
    <w:pPr>
      <w:spacing w:after="200"/>
      <w:jc w:val="both"/>
    </w:pPr>
    <w:rPr>
      <w:rFonts w:ascii="Calibri" w:hAnsi="Calibri" w:cs="Calibri"/>
    </w:rPr>
  </w:style>
  <w:style w:type="character" w:customStyle="1" w:styleId="ListParagraphChar">
    <w:name w:val="List Paragraph Char"/>
    <w:aliases w:val="F List Paragraph Char"/>
    <w:basedOn w:val="DefaultParagraphFont"/>
    <w:link w:val="ListParagraph"/>
    <w:uiPriority w:val="99"/>
    <w:locked/>
    <w:rsid w:val="00ED0C1C"/>
    <w:rPr>
      <w:rFonts w:ascii="Calibri" w:eastAsia="Times New Roman" w:hAnsi="Calibri" w:cs="Calibri"/>
      <w:lang w:val="bg-BG"/>
    </w:rPr>
  </w:style>
  <w:style w:type="paragraph" w:styleId="NormalWeb">
    <w:name w:val="Normal (Web)"/>
    <w:basedOn w:val="Normal"/>
    <w:uiPriority w:val="99"/>
    <w:rsid w:val="00F06B36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styleId="CommentReference">
    <w:name w:val="annotation reference"/>
    <w:aliases w:val="Stinking Styles6,Marque de commentaire1"/>
    <w:basedOn w:val="DefaultParagraphFont"/>
    <w:uiPriority w:val="99"/>
    <w:semiHidden/>
    <w:rsid w:val="003D6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68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D68E6"/>
    <w:rPr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6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D68E6"/>
    <w:rPr>
      <w:b/>
      <w:bCs/>
      <w:sz w:val="20"/>
      <w:szCs w:val="20"/>
      <w:lang w:val="bg-BG"/>
    </w:rPr>
  </w:style>
  <w:style w:type="paragraph" w:customStyle="1" w:styleId="Default">
    <w:name w:val="Default"/>
    <w:uiPriority w:val="99"/>
    <w:rsid w:val="0016013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uiPriority w:val="99"/>
    <w:rsid w:val="002711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0E25E1"/>
    <w:rPr>
      <w:color w:val="800080"/>
      <w:u w:val="single"/>
    </w:rPr>
  </w:style>
  <w:style w:type="paragraph" w:customStyle="1" w:styleId="Sub-articlenumbered">
    <w:name w:val="Sub-article numbered"/>
    <w:basedOn w:val="ListParagraph"/>
    <w:uiPriority w:val="99"/>
    <w:rsid w:val="00F54108"/>
    <w:pPr>
      <w:spacing w:before="240" w:after="240" w:line="259" w:lineRule="auto"/>
      <w:ind w:left="502" w:hanging="360"/>
    </w:pPr>
    <w:rPr>
      <w:rFonts w:ascii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F4744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47444"/>
    <w:rPr>
      <w:sz w:val="20"/>
      <w:szCs w:val="20"/>
      <w:lang w:val="bg-BG"/>
    </w:rPr>
  </w:style>
  <w:style w:type="character" w:styleId="FootnoteReference">
    <w:name w:val="footnote reference"/>
    <w:basedOn w:val="DefaultParagraphFont"/>
    <w:uiPriority w:val="99"/>
    <w:semiHidden/>
    <w:rsid w:val="00F47444"/>
    <w:rPr>
      <w:vertAlign w:val="superscript"/>
    </w:rPr>
  </w:style>
  <w:style w:type="paragraph" w:customStyle="1" w:styleId="BArticleNo">
    <w:name w:val="B Article No"/>
    <w:basedOn w:val="Normal"/>
    <w:next w:val="Normal"/>
    <w:link w:val="BArticleNoChar"/>
    <w:uiPriority w:val="99"/>
    <w:rsid w:val="00E327BA"/>
    <w:pPr>
      <w:keepNext/>
      <w:adjustRightInd w:val="0"/>
      <w:spacing w:after="120"/>
      <w:jc w:val="center"/>
      <w:textAlignment w:val="baseline"/>
      <w:outlineLvl w:val="1"/>
    </w:pPr>
    <w:rPr>
      <w:rFonts w:ascii="Calibri" w:hAnsi="Calibri" w:cs="Calibri"/>
      <w:b/>
      <w:bCs/>
      <w:color w:val="000000"/>
      <w:sz w:val="20"/>
      <w:szCs w:val="20"/>
      <w:lang w:eastAsia="de-DE"/>
    </w:rPr>
  </w:style>
  <w:style w:type="character" w:customStyle="1" w:styleId="BArticleNoChar">
    <w:name w:val="B Article No Char"/>
    <w:link w:val="BArticleNo"/>
    <w:uiPriority w:val="99"/>
    <w:locked/>
    <w:rsid w:val="00E327BA"/>
    <w:rPr>
      <w:rFonts w:ascii="Calibri" w:hAnsi="Calibri" w:cs="Calibri"/>
      <w:b/>
      <w:bCs/>
      <w:color w:val="000000"/>
      <w:sz w:val="24"/>
      <w:szCs w:val="24"/>
      <w:lang w:val="bg-BG" w:eastAsia="de-DE"/>
    </w:rPr>
  </w:style>
  <w:style w:type="character" w:customStyle="1" w:styleId="fontstyle01">
    <w:name w:val="fontstyle01"/>
    <w:basedOn w:val="DefaultParagraphFont"/>
    <w:uiPriority w:val="99"/>
    <w:rsid w:val="00FA0B59"/>
    <w:rPr>
      <w:rFonts w:ascii="ArialMT" w:hAnsi="ArialMT" w:cs="ArialMT"/>
      <w:color w:val="000000"/>
      <w:sz w:val="22"/>
      <w:szCs w:val="22"/>
    </w:rPr>
  </w:style>
  <w:style w:type="numbering" w:customStyle="1" w:styleId="XXXtextbullets">
    <w:name w:val="XXX_text bullets"/>
    <w:rsid w:val="00710D10"/>
    <w:pPr>
      <w:numPr>
        <w:numId w:val="4"/>
      </w:numPr>
    </w:pPr>
  </w:style>
  <w:style w:type="numbering" w:customStyle="1" w:styleId="XXXNummerierung">
    <w:name w:val="XXX_Nummerierung"/>
    <w:rsid w:val="00710D10"/>
    <w:pPr>
      <w:numPr>
        <w:numId w:val="3"/>
      </w:numPr>
    </w:pPr>
  </w:style>
  <w:style w:type="numbering" w:customStyle="1" w:styleId="XXXList">
    <w:name w:val="XXX_List"/>
    <w:rsid w:val="00710D10"/>
    <w:pPr>
      <w:numPr>
        <w:numId w:val="1"/>
      </w:numPr>
    </w:pPr>
  </w:style>
  <w:style w:type="numbering" w:customStyle="1" w:styleId="XXXBulletList">
    <w:name w:val="XXX_Bullet List"/>
    <w:rsid w:val="00710D1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20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20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1286</Words>
  <Characters>7038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Regional Specific Annex for CCR SEE to the Harmonised Allocation Rules for long-term transmission rights (ACER Decision 3/2017), in accordance with Articles 51 and 52(3) of Commision Regulation (EU) 2016/1719 of 26 September 2016 establishing a Guideline</vt:lpstr>
      <vt:lpstr>Regional Specific Annex for CCR SEE to the Harmonised Allocation Rules for long-term transmission rights (ACER Decision 3/2017), in accordance with Articles 51 and 52(3) of Commision Regulation (EU) 2016/1719 of 26 September 2016 establishing a Guideline</vt:lpstr>
    </vt:vector>
  </TitlesOfParts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Specific Annex for CCR SEE to the Harmonised Allocation Rules for long-term transmission rights (ACER Decision 3/2017), in accordance with Articles 51 and 52(3) of Commision Regulation (EU) 2016/1719 of 26 September 2016 establishing a Guideline</dc:title>
  <dc:subject/>
  <dc:creator/>
  <cp:keywords/>
  <dc:description/>
  <cp:lastModifiedBy/>
  <cp:revision>1</cp:revision>
  <dcterms:created xsi:type="dcterms:W3CDTF">2019-10-13T14:34:00Z</dcterms:created>
  <dcterms:modified xsi:type="dcterms:W3CDTF">2019-10-14T07:23:00Z</dcterms:modified>
</cp:coreProperties>
</file>