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5DC77" w14:textId="77777777" w:rsidR="001D452E" w:rsidRDefault="00C17FA1">
      <w:pPr>
        <w:pStyle w:val="ListParagraph"/>
        <w:numPr>
          <w:ilvl w:val="0"/>
          <w:numId w:val="6"/>
        </w:numPr>
        <w:ind w:left="567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ЦЕЛ</w:t>
      </w:r>
    </w:p>
    <w:p w14:paraId="1D6775D5" w14:textId="77777777" w:rsidR="001D452E" w:rsidRDefault="001D452E">
      <w:pPr>
        <w:pStyle w:val="ListParagraph"/>
        <w:ind w:left="1080"/>
        <w:rPr>
          <w:b/>
          <w:szCs w:val="24"/>
          <w:u w:val="single"/>
        </w:rPr>
      </w:pPr>
    </w:p>
    <w:p w14:paraId="2520337D" w14:textId="77777777" w:rsidR="001D452E" w:rsidRDefault="00C17FA1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>Настоящата инструкция регламентира реда и организацията</w:t>
      </w:r>
      <w:r w:rsidR="00F237B1">
        <w:rPr>
          <w:szCs w:val="24"/>
          <w:lang w:val="en-US"/>
        </w:rPr>
        <w:t xml:space="preserve"> </w:t>
      </w:r>
      <w:r w:rsidR="00F237B1">
        <w:rPr>
          <w:szCs w:val="24"/>
        </w:rPr>
        <w:t>при</w:t>
      </w:r>
      <w:r>
        <w:rPr>
          <w:szCs w:val="24"/>
        </w:rPr>
        <w:t xml:space="preserve"> </w:t>
      </w:r>
      <w:r w:rsidR="001F2BCA">
        <w:rPr>
          <w:szCs w:val="24"/>
        </w:rPr>
        <w:t xml:space="preserve">използване на </w:t>
      </w:r>
      <w:proofErr w:type="spellStart"/>
      <w:r w:rsidR="001F2BCA">
        <w:rPr>
          <w:szCs w:val="24"/>
        </w:rPr>
        <w:t>двуфакторна</w:t>
      </w:r>
      <w:proofErr w:type="spellEnd"/>
      <w:r w:rsidR="001F2BCA">
        <w:rPr>
          <w:szCs w:val="24"/>
        </w:rPr>
        <w:t xml:space="preserve"> </w:t>
      </w:r>
      <w:r w:rsidR="00874410">
        <w:rPr>
          <w:szCs w:val="24"/>
        </w:rPr>
        <w:t xml:space="preserve">автентификация </w:t>
      </w:r>
      <w:r>
        <w:rPr>
          <w:szCs w:val="24"/>
        </w:rPr>
        <w:t xml:space="preserve">в </w:t>
      </w:r>
      <w:r w:rsidR="00F237B1">
        <w:rPr>
          <w:szCs w:val="24"/>
        </w:rPr>
        <w:t xml:space="preserve">системата </w:t>
      </w:r>
      <w:r>
        <w:rPr>
          <w:szCs w:val="24"/>
        </w:rPr>
        <w:t xml:space="preserve">за администриране на пазара </w:t>
      </w:r>
      <w:r>
        <w:rPr>
          <w:szCs w:val="24"/>
          <w:lang w:val="en-US"/>
        </w:rPr>
        <w:t>MMS</w:t>
      </w:r>
      <w:r>
        <w:rPr>
          <w:szCs w:val="24"/>
        </w:rPr>
        <w:t xml:space="preserve"> на Независимия преносен оператор</w:t>
      </w:r>
      <w:r w:rsidR="001F2BCA">
        <w:rPr>
          <w:szCs w:val="24"/>
        </w:rPr>
        <w:t>.</w:t>
      </w:r>
    </w:p>
    <w:p w14:paraId="5F640458" w14:textId="77777777" w:rsidR="001F2BCA" w:rsidRPr="00865105" w:rsidRDefault="001F2BCA" w:rsidP="00865105">
      <w:pPr>
        <w:pStyle w:val="ListParagraph"/>
        <w:spacing w:before="480"/>
        <w:ind w:left="567"/>
        <w:jc w:val="both"/>
        <w:rPr>
          <w:szCs w:val="24"/>
        </w:rPr>
      </w:pPr>
    </w:p>
    <w:p w14:paraId="1B079E2E" w14:textId="77777777" w:rsidR="001D452E" w:rsidRDefault="00C17FA1">
      <w:pPr>
        <w:pStyle w:val="ListParagraph"/>
        <w:numPr>
          <w:ilvl w:val="0"/>
          <w:numId w:val="6"/>
        </w:numPr>
        <w:ind w:left="567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ОБЩИ ПОЛОЖЕНИЯ </w:t>
      </w:r>
    </w:p>
    <w:p w14:paraId="0E4C0801" w14:textId="77777777" w:rsidR="001D452E" w:rsidRDefault="001D452E">
      <w:pPr>
        <w:pStyle w:val="ListParagraph"/>
        <w:ind w:left="567"/>
        <w:rPr>
          <w:b/>
          <w:szCs w:val="24"/>
          <w:u w:val="single"/>
        </w:rPr>
      </w:pPr>
    </w:p>
    <w:p w14:paraId="15DBD82C" w14:textId="48587AB1" w:rsidR="00F94812" w:rsidRPr="00874410" w:rsidRDefault="00874410" w:rsidP="00874410">
      <w:pPr>
        <w:pStyle w:val="ListParagraph"/>
        <w:spacing w:before="480"/>
        <w:ind w:left="567"/>
        <w:jc w:val="both"/>
        <w:rPr>
          <w:szCs w:val="24"/>
        </w:rPr>
      </w:pPr>
      <w:proofErr w:type="spellStart"/>
      <w:r>
        <w:rPr>
          <w:szCs w:val="24"/>
        </w:rPr>
        <w:t>Двуфакторната</w:t>
      </w:r>
      <w:proofErr w:type="spellEnd"/>
      <w:r>
        <w:rPr>
          <w:szCs w:val="24"/>
        </w:rPr>
        <w:t xml:space="preserve"> автентификация</w:t>
      </w:r>
      <w:r w:rsidRPr="00874410">
        <w:rPr>
          <w:szCs w:val="24"/>
        </w:rPr>
        <w:t xml:space="preserve"> има за цел да повиши</w:t>
      </w:r>
      <w:r w:rsidR="00E774D4" w:rsidRPr="00874410">
        <w:rPr>
          <w:szCs w:val="24"/>
        </w:rPr>
        <w:t xml:space="preserve"> сигурността на </w:t>
      </w:r>
      <w:r w:rsidR="00E774D4">
        <w:rPr>
          <w:szCs w:val="24"/>
        </w:rPr>
        <w:t xml:space="preserve">платформата за администриране на пазара </w:t>
      </w:r>
      <w:r w:rsidR="00E774D4" w:rsidRPr="00874410">
        <w:rPr>
          <w:szCs w:val="24"/>
        </w:rPr>
        <w:t>MMS</w:t>
      </w:r>
      <w:r>
        <w:rPr>
          <w:szCs w:val="24"/>
        </w:rPr>
        <w:t xml:space="preserve">. </w:t>
      </w:r>
      <w:r w:rsidR="00F237B1">
        <w:rPr>
          <w:szCs w:val="24"/>
        </w:rPr>
        <w:t>Поради тази причина</w:t>
      </w:r>
      <w:r>
        <w:rPr>
          <w:szCs w:val="24"/>
        </w:rPr>
        <w:t xml:space="preserve"> потребителите</w:t>
      </w:r>
      <w:r w:rsidR="00F237B1">
        <w:rPr>
          <w:szCs w:val="24"/>
        </w:rPr>
        <w:t>,</w:t>
      </w:r>
      <w:r>
        <w:rPr>
          <w:szCs w:val="24"/>
        </w:rPr>
        <w:t xml:space="preserve"> освен въвеждането на име и парола за достъп</w:t>
      </w:r>
      <w:r w:rsidR="00F237B1">
        <w:rPr>
          <w:szCs w:val="24"/>
        </w:rPr>
        <w:t>,</w:t>
      </w:r>
      <w:r>
        <w:rPr>
          <w:szCs w:val="24"/>
        </w:rPr>
        <w:t xml:space="preserve"> следва да въвеждат и допълнителен </w:t>
      </w:r>
      <w:r w:rsidR="00DF44B4">
        <w:rPr>
          <w:szCs w:val="24"/>
        </w:rPr>
        <w:t xml:space="preserve">променлив </w:t>
      </w:r>
      <w:r>
        <w:rPr>
          <w:szCs w:val="24"/>
        </w:rPr>
        <w:t xml:space="preserve">код за сигурност, генериран чрез използване </w:t>
      </w:r>
      <w:r w:rsidR="00F237B1">
        <w:rPr>
          <w:szCs w:val="24"/>
        </w:rPr>
        <w:t xml:space="preserve">на </w:t>
      </w:r>
      <w:r w:rsidR="00865105">
        <w:rPr>
          <w:szCs w:val="24"/>
        </w:rPr>
        <w:t xml:space="preserve">приложението </w:t>
      </w:r>
      <w:proofErr w:type="spellStart"/>
      <w:r w:rsidRPr="00874410">
        <w:rPr>
          <w:szCs w:val="24"/>
        </w:rPr>
        <w:t>Google</w:t>
      </w:r>
      <w:proofErr w:type="spellEnd"/>
      <w:r w:rsidRPr="00874410">
        <w:rPr>
          <w:szCs w:val="24"/>
        </w:rPr>
        <w:t xml:space="preserve"> </w:t>
      </w:r>
      <w:proofErr w:type="spellStart"/>
      <w:r w:rsidRPr="00874410">
        <w:rPr>
          <w:szCs w:val="24"/>
        </w:rPr>
        <w:t>Authenticator</w:t>
      </w:r>
      <w:proofErr w:type="spellEnd"/>
      <w:r w:rsidR="001555EA">
        <w:rPr>
          <w:szCs w:val="24"/>
        </w:rPr>
        <w:t xml:space="preserve"> </w:t>
      </w:r>
      <w:r w:rsidR="001555EA">
        <w:rPr>
          <w:szCs w:val="24"/>
          <w:lang w:val="en-GB"/>
        </w:rPr>
        <w:t>(</w:t>
      </w:r>
      <w:r w:rsidR="001555EA">
        <w:rPr>
          <w:szCs w:val="24"/>
          <w:lang w:val="en-US"/>
        </w:rPr>
        <w:t xml:space="preserve">Google </w:t>
      </w:r>
      <w:proofErr w:type="spellStart"/>
      <w:r w:rsidR="001555EA">
        <w:rPr>
          <w:szCs w:val="24"/>
        </w:rPr>
        <w:t>Удостоверител</w:t>
      </w:r>
      <w:proofErr w:type="spellEnd"/>
      <w:r w:rsidR="001555EA">
        <w:rPr>
          <w:szCs w:val="24"/>
        </w:rPr>
        <w:t>)</w:t>
      </w:r>
      <w:r w:rsidRPr="00874410">
        <w:rPr>
          <w:szCs w:val="24"/>
        </w:rPr>
        <w:t>.</w:t>
      </w:r>
      <w:r w:rsidR="001555EA">
        <w:rPr>
          <w:szCs w:val="24"/>
        </w:rPr>
        <w:t xml:space="preserve"> </w:t>
      </w:r>
      <w:r w:rsidR="001555EA" w:rsidRPr="001555EA">
        <w:rPr>
          <w:szCs w:val="24"/>
        </w:rPr>
        <w:t xml:space="preserve">Приложението може да се инсталира от </w:t>
      </w:r>
      <w:proofErr w:type="spellStart"/>
      <w:r w:rsidR="001555EA" w:rsidRPr="001555EA">
        <w:rPr>
          <w:szCs w:val="24"/>
        </w:rPr>
        <w:t>Google</w:t>
      </w:r>
      <w:proofErr w:type="spellEnd"/>
      <w:r w:rsidR="001555EA" w:rsidRPr="001555EA">
        <w:rPr>
          <w:szCs w:val="24"/>
        </w:rPr>
        <w:t xml:space="preserve"> </w:t>
      </w:r>
      <w:proofErr w:type="spellStart"/>
      <w:r w:rsidR="001555EA" w:rsidRPr="001555EA">
        <w:rPr>
          <w:szCs w:val="24"/>
        </w:rPr>
        <w:t>Play</w:t>
      </w:r>
      <w:proofErr w:type="spellEnd"/>
      <w:r w:rsidR="001555EA" w:rsidRPr="001555EA">
        <w:rPr>
          <w:szCs w:val="24"/>
        </w:rPr>
        <w:t xml:space="preserve"> Store (</w:t>
      </w:r>
      <w:proofErr w:type="spellStart"/>
      <w:r w:rsidR="001555EA" w:rsidRPr="001555EA">
        <w:rPr>
          <w:szCs w:val="24"/>
        </w:rPr>
        <w:t>Google</w:t>
      </w:r>
      <w:proofErr w:type="spellEnd"/>
      <w:r w:rsidR="001555EA" w:rsidRPr="001555EA">
        <w:rPr>
          <w:szCs w:val="24"/>
        </w:rPr>
        <w:t xml:space="preserve"> </w:t>
      </w:r>
      <w:proofErr w:type="spellStart"/>
      <w:r w:rsidR="001555EA" w:rsidRPr="001555EA">
        <w:rPr>
          <w:szCs w:val="24"/>
        </w:rPr>
        <w:t>Play</w:t>
      </w:r>
      <w:proofErr w:type="spellEnd"/>
      <w:r w:rsidR="001555EA" w:rsidRPr="001555EA">
        <w:rPr>
          <w:szCs w:val="24"/>
        </w:rPr>
        <w:t xml:space="preserve"> магазин) за устройства с </w:t>
      </w:r>
      <w:proofErr w:type="spellStart"/>
      <w:r w:rsidR="001555EA" w:rsidRPr="001555EA">
        <w:rPr>
          <w:szCs w:val="24"/>
        </w:rPr>
        <w:t>Android</w:t>
      </w:r>
      <w:proofErr w:type="spellEnd"/>
      <w:r w:rsidR="001555EA" w:rsidRPr="001555EA">
        <w:rPr>
          <w:szCs w:val="24"/>
        </w:rPr>
        <w:t xml:space="preserve"> или от </w:t>
      </w:r>
      <w:proofErr w:type="spellStart"/>
      <w:r w:rsidR="001555EA" w:rsidRPr="001555EA">
        <w:rPr>
          <w:szCs w:val="24"/>
        </w:rPr>
        <w:t>App</w:t>
      </w:r>
      <w:proofErr w:type="spellEnd"/>
      <w:r w:rsidR="001555EA" w:rsidRPr="001555EA">
        <w:rPr>
          <w:szCs w:val="24"/>
        </w:rPr>
        <w:t xml:space="preserve"> Store за </w:t>
      </w:r>
      <w:r w:rsidR="001555EA">
        <w:rPr>
          <w:szCs w:val="24"/>
        </w:rPr>
        <w:t xml:space="preserve">устройства с </w:t>
      </w:r>
      <w:proofErr w:type="spellStart"/>
      <w:r w:rsidR="001555EA" w:rsidRPr="001555EA">
        <w:rPr>
          <w:szCs w:val="24"/>
        </w:rPr>
        <w:t>iOS</w:t>
      </w:r>
      <w:proofErr w:type="spellEnd"/>
      <w:r w:rsidR="001555EA">
        <w:rPr>
          <w:szCs w:val="24"/>
        </w:rPr>
        <w:t>.</w:t>
      </w:r>
    </w:p>
    <w:p w14:paraId="2E00C03D" w14:textId="75DC2EF8" w:rsidR="00874410" w:rsidRPr="00874410" w:rsidRDefault="00874410" w:rsidP="00874410">
      <w:pPr>
        <w:pStyle w:val="ListParagraph"/>
        <w:spacing w:before="480"/>
        <w:ind w:left="567"/>
        <w:jc w:val="both"/>
        <w:rPr>
          <w:szCs w:val="24"/>
        </w:rPr>
      </w:pPr>
      <w:proofErr w:type="spellStart"/>
      <w:r>
        <w:rPr>
          <w:szCs w:val="24"/>
        </w:rPr>
        <w:t>Двуфакторната</w:t>
      </w:r>
      <w:proofErr w:type="spellEnd"/>
      <w:r>
        <w:rPr>
          <w:szCs w:val="24"/>
        </w:rPr>
        <w:t xml:space="preserve"> автентификация </w:t>
      </w:r>
      <w:r w:rsidR="001555EA">
        <w:rPr>
          <w:szCs w:val="24"/>
        </w:rPr>
        <w:t>(двустепенното удостоверяване</w:t>
      </w:r>
      <w:r w:rsidR="00ED6C03">
        <w:rPr>
          <w:szCs w:val="24"/>
          <w:lang w:val="en-US"/>
        </w:rPr>
        <w:t>, 2FA</w:t>
      </w:r>
      <w:r w:rsidR="001555EA">
        <w:rPr>
          <w:szCs w:val="24"/>
        </w:rPr>
        <w:t xml:space="preserve">) </w:t>
      </w:r>
      <w:r>
        <w:rPr>
          <w:szCs w:val="24"/>
        </w:rPr>
        <w:t>е задължителна за всички потребители на системата.</w:t>
      </w:r>
    </w:p>
    <w:p w14:paraId="6DDBBD19" w14:textId="77777777" w:rsidR="00E774D4" w:rsidRPr="00874410" w:rsidRDefault="00E774D4" w:rsidP="00874410">
      <w:pPr>
        <w:pStyle w:val="ListParagraph"/>
        <w:spacing w:before="480"/>
        <w:ind w:left="567"/>
        <w:jc w:val="both"/>
        <w:rPr>
          <w:szCs w:val="24"/>
        </w:rPr>
      </w:pPr>
    </w:p>
    <w:p w14:paraId="21F2593A" w14:textId="77777777" w:rsidR="001D452E" w:rsidRDefault="00874410">
      <w:pPr>
        <w:pStyle w:val="ListParagraph"/>
        <w:numPr>
          <w:ilvl w:val="0"/>
          <w:numId w:val="6"/>
        </w:numPr>
        <w:ind w:left="567"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t>РЕД И ОРГАНИЗАЦИЯ ЗА ИЗПОЛЗВАНЕ НА ДВУФАКТОРНА АВТЕНТИФИКАЦИЯ</w:t>
      </w:r>
      <w:r w:rsidR="001555EA">
        <w:rPr>
          <w:b/>
          <w:szCs w:val="24"/>
          <w:u w:val="single"/>
        </w:rPr>
        <w:t xml:space="preserve"> (</w:t>
      </w:r>
      <w:r w:rsidR="00D30921">
        <w:rPr>
          <w:b/>
          <w:szCs w:val="24"/>
          <w:u w:val="single"/>
        </w:rPr>
        <w:t>ДВУСТЕПЕННО УДОСТОВЕРЯВАНЕ</w:t>
      </w:r>
      <w:r w:rsidR="001555EA">
        <w:rPr>
          <w:b/>
          <w:szCs w:val="24"/>
          <w:u w:val="single"/>
        </w:rPr>
        <w:t>)</w:t>
      </w:r>
    </w:p>
    <w:p w14:paraId="6955C455" w14:textId="77777777" w:rsidR="00874410" w:rsidRPr="00874410" w:rsidRDefault="00874410" w:rsidP="00874410">
      <w:pPr>
        <w:pStyle w:val="ListParagraph"/>
        <w:spacing w:before="480"/>
        <w:ind w:left="567"/>
        <w:jc w:val="both"/>
        <w:rPr>
          <w:szCs w:val="24"/>
        </w:rPr>
      </w:pPr>
    </w:p>
    <w:p w14:paraId="072F280E" w14:textId="0567A1A9" w:rsidR="004757A5" w:rsidRPr="00444AE8" w:rsidRDefault="00874410" w:rsidP="00874410">
      <w:pPr>
        <w:pStyle w:val="ListParagraph"/>
        <w:spacing w:before="480"/>
        <w:ind w:left="567"/>
        <w:jc w:val="both"/>
        <w:rPr>
          <w:szCs w:val="24"/>
        </w:rPr>
      </w:pPr>
      <w:r w:rsidRPr="00444AE8">
        <w:rPr>
          <w:szCs w:val="24"/>
        </w:rPr>
        <w:t xml:space="preserve">За всички съществуващи потребители на системата служител на ЕСО ЕАД ръчно </w:t>
      </w:r>
      <w:r w:rsidR="00123EDB">
        <w:rPr>
          <w:szCs w:val="24"/>
        </w:rPr>
        <w:t>активира</w:t>
      </w:r>
      <w:r w:rsidR="00ED6C03">
        <w:rPr>
          <w:szCs w:val="24"/>
        </w:rPr>
        <w:t xml:space="preserve"> режим на </w:t>
      </w:r>
      <w:proofErr w:type="spellStart"/>
      <w:r w:rsidR="00ED6C03">
        <w:rPr>
          <w:szCs w:val="24"/>
        </w:rPr>
        <w:t>двуфакторна</w:t>
      </w:r>
      <w:proofErr w:type="spellEnd"/>
      <w:r w:rsidR="00ED6C03">
        <w:rPr>
          <w:szCs w:val="24"/>
        </w:rPr>
        <w:t xml:space="preserve"> автентификация, при което </w:t>
      </w:r>
      <w:r w:rsidR="00ED6C03">
        <w:rPr>
          <w:szCs w:val="24"/>
          <w:lang w:val="en-US"/>
        </w:rPr>
        <w:t xml:space="preserve">MMS </w:t>
      </w:r>
      <w:r w:rsidRPr="00444AE8">
        <w:rPr>
          <w:szCs w:val="24"/>
        </w:rPr>
        <w:t xml:space="preserve">генерира </w:t>
      </w:r>
      <w:r w:rsidR="00ED6C03">
        <w:rPr>
          <w:szCs w:val="24"/>
        </w:rPr>
        <w:t xml:space="preserve">нов случаен </w:t>
      </w:r>
      <w:r w:rsidR="0089679A" w:rsidRPr="00444AE8">
        <w:rPr>
          <w:szCs w:val="24"/>
        </w:rPr>
        <w:t xml:space="preserve">потребителски </w:t>
      </w:r>
      <w:r w:rsidR="000A71F9" w:rsidRPr="00444AE8">
        <w:rPr>
          <w:szCs w:val="24"/>
        </w:rPr>
        <w:t xml:space="preserve">код за </w:t>
      </w:r>
      <w:r w:rsidR="00B07483">
        <w:rPr>
          <w:szCs w:val="24"/>
        </w:rPr>
        <w:t xml:space="preserve">вход в </w:t>
      </w:r>
      <w:r w:rsidR="000A71F9" w:rsidRPr="00444AE8">
        <w:rPr>
          <w:szCs w:val="24"/>
        </w:rPr>
        <w:t xml:space="preserve">платформата, който трябва да се регистрира в </w:t>
      </w:r>
      <w:proofErr w:type="spellStart"/>
      <w:r w:rsidR="000A71F9" w:rsidRPr="00444AE8">
        <w:rPr>
          <w:szCs w:val="24"/>
        </w:rPr>
        <w:t>Google</w:t>
      </w:r>
      <w:proofErr w:type="spellEnd"/>
      <w:r w:rsidR="000A71F9" w:rsidRPr="00444AE8">
        <w:rPr>
          <w:szCs w:val="24"/>
        </w:rPr>
        <w:t xml:space="preserve"> </w:t>
      </w:r>
      <w:proofErr w:type="spellStart"/>
      <w:r w:rsidR="000A71F9" w:rsidRPr="00444AE8">
        <w:rPr>
          <w:szCs w:val="24"/>
        </w:rPr>
        <w:t>Authenticator</w:t>
      </w:r>
      <w:proofErr w:type="spellEnd"/>
      <w:r w:rsidR="000A71F9" w:rsidRPr="00444AE8">
        <w:rPr>
          <w:szCs w:val="24"/>
        </w:rPr>
        <w:t>.</w:t>
      </w:r>
      <w:r w:rsidR="001555EA" w:rsidRPr="00444AE8">
        <w:rPr>
          <w:szCs w:val="24"/>
        </w:rPr>
        <w:t xml:space="preserve"> </w:t>
      </w:r>
    </w:p>
    <w:p w14:paraId="37205889" w14:textId="7B1CFF31" w:rsidR="004757A5" w:rsidRPr="00615547" w:rsidRDefault="004757A5" w:rsidP="00874410">
      <w:pPr>
        <w:pStyle w:val="ListParagraph"/>
        <w:spacing w:before="480"/>
        <w:ind w:left="567"/>
        <w:jc w:val="both"/>
        <w:rPr>
          <w:szCs w:val="24"/>
        </w:rPr>
      </w:pPr>
      <w:r w:rsidRPr="00444AE8">
        <w:rPr>
          <w:szCs w:val="24"/>
        </w:rPr>
        <w:t xml:space="preserve">Като първа стъпка всеки потребител </w:t>
      </w:r>
      <w:r w:rsidR="00B07483">
        <w:rPr>
          <w:szCs w:val="24"/>
        </w:rPr>
        <w:t>следва</w:t>
      </w:r>
      <w:r w:rsidR="00B07483" w:rsidRPr="00444AE8">
        <w:rPr>
          <w:szCs w:val="24"/>
        </w:rPr>
        <w:t xml:space="preserve"> </w:t>
      </w:r>
      <w:r w:rsidRPr="00444AE8">
        <w:rPr>
          <w:szCs w:val="24"/>
        </w:rPr>
        <w:t>да инсталира на използваното от него мобилно или десктоп устройство приложението</w:t>
      </w:r>
      <w:r w:rsidRPr="004757A5">
        <w:rPr>
          <w:szCs w:val="24"/>
        </w:rPr>
        <w:t xml:space="preserve"> </w:t>
      </w:r>
      <w:proofErr w:type="spellStart"/>
      <w:r w:rsidRPr="004757A5">
        <w:rPr>
          <w:szCs w:val="24"/>
        </w:rPr>
        <w:t>Google</w:t>
      </w:r>
      <w:proofErr w:type="spellEnd"/>
      <w:r w:rsidRPr="004757A5">
        <w:rPr>
          <w:szCs w:val="24"/>
        </w:rPr>
        <w:t xml:space="preserve"> </w:t>
      </w:r>
      <w:proofErr w:type="spellStart"/>
      <w:r w:rsidRPr="004757A5">
        <w:rPr>
          <w:szCs w:val="24"/>
        </w:rPr>
        <w:t>Authenticator</w:t>
      </w:r>
      <w:proofErr w:type="spellEnd"/>
      <w:r w:rsidRPr="004757A5">
        <w:rPr>
          <w:szCs w:val="24"/>
        </w:rPr>
        <w:t xml:space="preserve"> (</w:t>
      </w:r>
      <w:proofErr w:type="spellStart"/>
      <w:r w:rsidRPr="004757A5">
        <w:rPr>
          <w:szCs w:val="24"/>
        </w:rPr>
        <w:t>Google</w:t>
      </w:r>
      <w:proofErr w:type="spellEnd"/>
      <w:r w:rsidRPr="004757A5">
        <w:rPr>
          <w:szCs w:val="24"/>
        </w:rPr>
        <w:t xml:space="preserve"> </w:t>
      </w:r>
      <w:proofErr w:type="spellStart"/>
      <w:r w:rsidRPr="004757A5">
        <w:rPr>
          <w:szCs w:val="24"/>
        </w:rPr>
        <w:t>Удостоверител</w:t>
      </w:r>
      <w:proofErr w:type="spellEnd"/>
      <w:r w:rsidRPr="004757A5">
        <w:rPr>
          <w:szCs w:val="24"/>
        </w:rPr>
        <w:t xml:space="preserve">). Приложението може да инсталира от </w:t>
      </w:r>
      <w:proofErr w:type="spellStart"/>
      <w:r w:rsidRPr="004757A5">
        <w:rPr>
          <w:szCs w:val="24"/>
        </w:rPr>
        <w:t>Google</w:t>
      </w:r>
      <w:proofErr w:type="spellEnd"/>
      <w:r w:rsidRPr="004757A5">
        <w:rPr>
          <w:szCs w:val="24"/>
        </w:rPr>
        <w:t xml:space="preserve"> </w:t>
      </w:r>
      <w:proofErr w:type="spellStart"/>
      <w:r w:rsidRPr="004757A5">
        <w:rPr>
          <w:szCs w:val="24"/>
        </w:rPr>
        <w:t>Play</w:t>
      </w:r>
      <w:proofErr w:type="spellEnd"/>
      <w:r w:rsidRPr="004757A5">
        <w:rPr>
          <w:szCs w:val="24"/>
        </w:rPr>
        <w:t xml:space="preserve"> Store (</w:t>
      </w:r>
      <w:proofErr w:type="spellStart"/>
      <w:r w:rsidRPr="004757A5">
        <w:rPr>
          <w:szCs w:val="24"/>
        </w:rPr>
        <w:t>Google</w:t>
      </w:r>
      <w:proofErr w:type="spellEnd"/>
      <w:r w:rsidRPr="004757A5">
        <w:rPr>
          <w:szCs w:val="24"/>
        </w:rPr>
        <w:t xml:space="preserve"> </w:t>
      </w:r>
      <w:proofErr w:type="spellStart"/>
      <w:r w:rsidRPr="004757A5">
        <w:rPr>
          <w:szCs w:val="24"/>
        </w:rPr>
        <w:t>Play</w:t>
      </w:r>
      <w:proofErr w:type="spellEnd"/>
      <w:r w:rsidRPr="004757A5">
        <w:rPr>
          <w:szCs w:val="24"/>
        </w:rPr>
        <w:t xml:space="preserve"> магазин) за устройства с </w:t>
      </w:r>
      <w:r>
        <w:rPr>
          <w:szCs w:val="24"/>
        </w:rPr>
        <w:t xml:space="preserve">операционна система </w:t>
      </w:r>
      <w:proofErr w:type="spellStart"/>
      <w:r>
        <w:rPr>
          <w:szCs w:val="24"/>
        </w:rPr>
        <w:t>Android</w:t>
      </w:r>
      <w:proofErr w:type="spellEnd"/>
      <w:r>
        <w:rPr>
          <w:szCs w:val="24"/>
        </w:rPr>
        <w:t xml:space="preserve"> или от </w:t>
      </w:r>
      <w:proofErr w:type="spellStart"/>
      <w:r>
        <w:rPr>
          <w:szCs w:val="24"/>
        </w:rPr>
        <w:t>App</w:t>
      </w:r>
      <w:proofErr w:type="spellEnd"/>
      <w:r>
        <w:rPr>
          <w:szCs w:val="24"/>
        </w:rPr>
        <w:t xml:space="preserve"> Store за устройства с </w:t>
      </w:r>
      <w:proofErr w:type="spellStart"/>
      <w:r w:rsidRPr="004757A5">
        <w:rPr>
          <w:szCs w:val="24"/>
        </w:rPr>
        <w:t>iOS</w:t>
      </w:r>
      <w:proofErr w:type="spellEnd"/>
      <w:r w:rsidRPr="004757A5">
        <w:rPr>
          <w:szCs w:val="24"/>
        </w:rPr>
        <w:t>.</w:t>
      </w:r>
    </w:p>
    <w:p w14:paraId="38A92E24" w14:textId="2276E9C6" w:rsidR="000A71F9" w:rsidRPr="00615547" w:rsidRDefault="00D30921" w:rsidP="00444AE8">
      <w:pPr>
        <w:ind w:left="567"/>
      </w:pPr>
      <w:r w:rsidRPr="00615547">
        <w:rPr>
          <w:szCs w:val="24"/>
        </w:rPr>
        <w:t>На всички съществуващи потребители ще бъде включено двустепенното удостоверяване по предварително обявен от ЕСО ЕАД график</w:t>
      </w:r>
      <w:r w:rsidR="00ED6C03">
        <w:rPr>
          <w:szCs w:val="24"/>
        </w:rPr>
        <w:t xml:space="preserve"> или след изпратен от съответния потреби</w:t>
      </w:r>
      <w:r w:rsidR="00ED6C03">
        <w:rPr>
          <w:szCs w:val="24"/>
        </w:rPr>
        <w:softHyphen/>
        <w:t xml:space="preserve">тел </w:t>
      </w:r>
      <w:r w:rsidR="00ED6C03">
        <w:rPr>
          <w:szCs w:val="24"/>
          <w:lang w:val="en-US"/>
        </w:rPr>
        <w:t xml:space="preserve">email </w:t>
      </w:r>
      <w:r w:rsidR="00ED6C03">
        <w:rPr>
          <w:szCs w:val="24"/>
        </w:rPr>
        <w:t xml:space="preserve">до </w:t>
      </w:r>
      <w:hyperlink r:id="rId8" w:history="1">
        <w:r w:rsidR="00DF44B4" w:rsidRPr="000965D1">
          <w:rPr>
            <w:rStyle w:val="Hyperlink"/>
            <w:szCs w:val="24"/>
            <w:lang w:val="en-US"/>
          </w:rPr>
          <w:t>eto.admin@eso.bg</w:t>
        </w:r>
      </w:hyperlink>
      <w:r w:rsidRPr="00615547">
        <w:rPr>
          <w:szCs w:val="24"/>
        </w:rPr>
        <w:t xml:space="preserve">. </w:t>
      </w:r>
      <w:r w:rsidR="00615547" w:rsidRPr="00615547">
        <w:rPr>
          <w:szCs w:val="24"/>
        </w:rPr>
        <w:t>След активирането на двустепенното удостоверяване</w:t>
      </w:r>
      <w:r w:rsidR="00B07483">
        <w:rPr>
          <w:szCs w:val="24"/>
        </w:rPr>
        <w:t>,</w:t>
      </w:r>
      <w:r w:rsidR="00615547" w:rsidRPr="00615547">
        <w:rPr>
          <w:szCs w:val="24"/>
        </w:rPr>
        <w:t xml:space="preserve"> всеки потребител ще трябва да влезе отново в системата, при което </w:t>
      </w:r>
      <w:r w:rsidR="000A71F9" w:rsidRPr="00615547">
        <w:t xml:space="preserve">след въвеждане на потребителско име и парола на екрана се визуализира </w:t>
      </w:r>
      <w:r w:rsidR="000A71F9" w:rsidRPr="00615547">
        <w:rPr>
          <w:lang w:val="en-US"/>
        </w:rPr>
        <w:t xml:space="preserve">QR </w:t>
      </w:r>
      <w:r w:rsidR="002243BF" w:rsidRPr="00615547">
        <w:t>код</w:t>
      </w:r>
      <w:r w:rsidR="004757A5">
        <w:t xml:space="preserve"> (вижте картинката по-долу)</w:t>
      </w:r>
      <w:r w:rsidR="00615547">
        <w:t xml:space="preserve">. </w:t>
      </w:r>
    </w:p>
    <w:p w14:paraId="4D5BFD4F" w14:textId="77777777" w:rsidR="005F2FA5" w:rsidRPr="000A71F9" w:rsidRDefault="005F2FA5" w:rsidP="00FD3BE0">
      <w:pPr>
        <w:pStyle w:val="ListParagraph"/>
        <w:spacing w:before="480"/>
        <w:ind w:left="567"/>
        <w:jc w:val="center"/>
        <w:rPr>
          <w:szCs w:val="24"/>
        </w:rPr>
      </w:pPr>
      <w:r>
        <w:rPr>
          <w:noProof/>
          <w:szCs w:val="24"/>
          <w:lang w:eastAsia="bg-BG"/>
        </w:rPr>
        <w:lastRenderedPageBreak/>
        <w:drawing>
          <wp:inline distT="0" distB="0" distL="0" distR="0" wp14:anchorId="607B10E0" wp14:editId="6C435104">
            <wp:extent cx="5347604" cy="35433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01" cy="356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AC25" w14:textId="740E1AAD" w:rsidR="00874410" w:rsidRPr="0089679A" w:rsidRDefault="002B4040" w:rsidP="00874410">
      <w:pPr>
        <w:pStyle w:val="ListParagraph"/>
        <w:spacing w:before="480"/>
        <w:ind w:left="567"/>
        <w:jc w:val="both"/>
        <w:rPr>
          <w:szCs w:val="24"/>
          <w:lang w:val="en-US"/>
        </w:rPr>
      </w:pPr>
      <w:r>
        <w:rPr>
          <w:szCs w:val="24"/>
        </w:rPr>
        <w:t>Съветваме потребителите да са включили предварително приложението</w:t>
      </w:r>
      <w:r w:rsidR="00874410" w:rsidRPr="00874410">
        <w:rPr>
          <w:szCs w:val="24"/>
        </w:rPr>
        <w:t xml:space="preserve"> </w:t>
      </w:r>
      <w:proofErr w:type="spellStart"/>
      <w:r w:rsidR="00874410" w:rsidRPr="00874410">
        <w:rPr>
          <w:szCs w:val="24"/>
        </w:rPr>
        <w:t>Google</w:t>
      </w:r>
      <w:proofErr w:type="spellEnd"/>
      <w:r w:rsidR="00874410" w:rsidRPr="00874410">
        <w:rPr>
          <w:szCs w:val="24"/>
        </w:rPr>
        <w:t xml:space="preserve"> </w:t>
      </w:r>
      <w:proofErr w:type="spellStart"/>
      <w:r w:rsidR="00874410" w:rsidRPr="00874410">
        <w:rPr>
          <w:szCs w:val="24"/>
        </w:rPr>
        <w:t>Authenticator</w:t>
      </w:r>
      <w:proofErr w:type="spellEnd"/>
      <w:r>
        <w:rPr>
          <w:szCs w:val="24"/>
        </w:rPr>
        <w:t xml:space="preserve"> непосредствено преди да влезнат в системата</w:t>
      </w:r>
      <w:r w:rsidR="00894AB1">
        <w:rPr>
          <w:szCs w:val="24"/>
        </w:rPr>
        <w:t>.</w:t>
      </w:r>
      <w:r w:rsidR="00874410" w:rsidRPr="00874410">
        <w:rPr>
          <w:szCs w:val="24"/>
        </w:rPr>
        <w:t xml:space="preserve"> </w:t>
      </w:r>
      <w:r w:rsidR="00865105">
        <w:rPr>
          <w:szCs w:val="24"/>
        </w:rPr>
        <w:t xml:space="preserve">В приложението се </w:t>
      </w:r>
      <w:r w:rsidR="00B07483">
        <w:rPr>
          <w:szCs w:val="24"/>
        </w:rPr>
        <w:t xml:space="preserve">активира </w:t>
      </w:r>
      <w:r w:rsidR="0089679A">
        <w:rPr>
          <w:szCs w:val="24"/>
        </w:rPr>
        <w:t>бутонът</w:t>
      </w:r>
      <w:r w:rsidR="002243BF">
        <w:rPr>
          <w:szCs w:val="24"/>
        </w:rPr>
        <w:t xml:space="preserve"> със знак плюс („+“) и с</w:t>
      </w:r>
      <w:r w:rsidR="005F2FA5">
        <w:rPr>
          <w:szCs w:val="24"/>
        </w:rPr>
        <w:t xml:space="preserve"> помощта на камерата на устройството се сканира</w:t>
      </w:r>
      <w:r w:rsidR="00874410" w:rsidRPr="00874410">
        <w:rPr>
          <w:szCs w:val="24"/>
        </w:rPr>
        <w:t xml:space="preserve"> </w:t>
      </w:r>
      <w:r w:rsidR="002243BF">
        <w:rPr>
          <w:szCs w:val="24"/>
          <w:lang w:val="en-US"/>
        </w:rPr>
        <w:t xml:space="preserve">QR </w:t>
      </w:r>
      <w:r w:rsidR="002243BF">
        <w:rPr>
          <w:szCs w:val="24"/>
        </w:rPr>
        <w:t>код</w:t>
      </w:r>
      <w:r w:rsidR="0089679A">
        <w:rPr>
          <w:szCs w:val="24"/>
        </w:rPr>
        <w:t>а</w:t>
      </w:r>
      <w:r w:rsidR="00874410" w:rsidRPr="00874410">
        <w:rPr>
          <w:szCs w:val="24"/>
        </w:rPr>
        <w:t>.</w:t>
      </w:r>
    </w:p>
    <w:p w14:paraId="0364B2E7" w14:textId="77777777" w:rsidR="002243BF" w:rsidRDefault="00865105" w:rsidP="0087441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>След регистрация на кода</w:t>
      </w:r>
      <w:r w:rsidR="002243BF">
        <w:rPr>
          <w:szCs w:val="24"/>
        </w:rPr>
        <w:t xml:space="preserve"> </w:t>
      </w:r>
      <w:r w:rsidR="0089679A">
        <w:rPr>
          <w:szCs w:val="24"/>
        </w:rPr>
        <w:t xml:space="preserve">в </w:t>
      </w:r>
      <w:proofErr w:type="spellStart"/>
      <w:r w:rsidR="002243BF" w:rsidRPr="00874410">
        <w:rPr>
          <w:szCs w:val="24"/>
        </w:rPr>
        <w:t>Google</w:t>
      </w:r>
      <w:proofErr w:type="spellEnd"/>
      <w:r w:rsidR="002243BF" w:rsidRPr="00874410">
        <w:rPr>
          <w:szCs w:val="24"/>
        </w:rPr>
        <w:t xml:space="preserve"> </w:t>
      </w:r>
      <w:proofErr w:type="spellStart"/>
      <w:r w:rsidR="002243BF" w:rsidRPr="00874410">
        <w:rPr>
          <w:szCs w:val="24"/>
        </w:rPr>
        <w:t>Authenticator</w:t>
      </w:r>
      <w:proofErr w:type="spellEnd"/>
      <w:r w:rsidR="002243BF">
        <w:rPr>
          <w:szCs w:val="24"/>
        </w:rPr>
        <w:t>,</w:t>
      </w:r>
      <w:r w:rsidR="002243BF" w:rsidRPr="00874410">
        <w:rPr>
          <w:szCs w:val="24"/>
        </w:rPr>
        <w:t xml:space="preserve"> </w:t>
      </w:r>
      <w:r w:rsidR="002243BF">
        <w:rPr>
          <w:szCs w:val="24"/>
        </w:rPr>
        <w:t>автоматично на всеки 30 секунди</w:t>
      </w:r>
      <w:r w:rsidR="0089679A">
        <w:rPr>
          <w:szCs w:val="24"/>
        </w:rPr>
        <w:t>,</w:t>
      </w:r>
      <w:r w:rsidR="002243BF">
        <w:rPr>
          <w:szCs w:val="24"/>
        </w:rPr>
        <w:t xml:space="preserve"> се генерира временен код за достъп до системата, който потребителят следва да </w:t>
      </w:r>
      <w:r w:rsidR="0089679A">
        <w:rPr>
          <w:szCs w:val="24"/>
        </w:rPr>
        <w:t>въвежда при всеки вход</w:t>
      </w:r>
      <w:r>
        <w:rPr>
          <w:szCs w:val="24"/>
        </w:rPr>
        <w:t xml:space="preserve"> в системата след</w:t>
      </w:r>
      <w:r w:rsidR="002243BF">
        <w:rPr>
          <w:szCs w:val="24"/>
        </w:rPr>
        <w:t xml:space="preserve"> </w:t>
      </w:r>
      <w:r w:rsidR="00894AB1">
        <w:rPr>
          <w:szCs w:val="24"/>
        </w:rPr>
        <w:t xml:space="preserve">въвеждането на </w:t>
      </w:r>
      <w:r w:rsidR="002243BF">
        <w:rPr>
          <w:szCs w:val="24"/>
        </w:rPr>
        <w:t>потребителско</w:t>
      </w:r>
      <w:r>
        <w:rPr>
          <w:szCs w:val="24"/>
        </w:rPr>
        <w:t>то си</w:t>
      </w:r>
      <w:r w:rsidR="002243BF">
        <w:rPr>
          <w:szCs w:val="24"/>
        </w:rPr>
        <w:t xml:space="preserve"> име и парола.</w:t>
      </w:r>
    </w:p>
    <w:p w14:paraId="493008E1" w14:textId="0086B909" w:rsidR="005F2FA5" w:rsidRDefault="00FD3BE0" w:rsidP="00FD3BE0">
      <w:pPr>
        <w:pStyle w:val="ListParagraph"/>
        <w:spacing w:before="480"/>
        <w:ind w:left="567"/>
        <w:jc w:val="center"/>
        <w:rPr>
          <w:szCs w:val="24"/>
        </w:rPr>
      </w:pPr>
      <w:r>
        <w:rPr>
          <w:noProof/>
          <w:szCs w:val="24"/>
          <w:lang w:eastAsia="bg-BG"/>
        </w:rPr>
        <w:lastRenderedPageBreak/>
        <w:drawing>
          <wp:inline distT="0" distB="0" distL="0" distR="0" wp14:anchorId="6D87F904" wp14:editId="6C84CCC4">
            <wp:extent cx="2204085" cy="40005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16" cy="402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2207C" w14:textId="70DCDCE5" w:rsidR="00444AE8" w:rsidRDefault="00444AE8" w:rsidP="00444AE8">
      <w:pPr>
        <w:pStyle w:val="ListParagraph"/>
        <w:spacing w:before="480"/>
        <w:ind w:left="567"/>
        <w:jc w:val="both"/>
        <w:rPr>
          <w:szCs w:val="24"/>
        </w:rPr>
      </w:pPr>
    </w:p>
    <w:p w14:paraId="722ACD9F" w14:textId="5C2245DF" w:rsidR="008F0107" w:rsidRDefault="008F0107" w:rsidP="00444AE8">
      <w:pPr>
        <w:pStyle w:val="ListParagraph"/>
        <w:spacing w:before="480"/>
        <w:ind w:left="567"/>
        <w:jc w:val="both"/>
        <w:rPr>
          <w:szCs w:val="24"/>
        </w:rPr>
      </w:pPr>
      <w:proofErr w:type="spellStart"/>
      <w:r w:rsidRPr="00444AE8">
        <w:rPr>
          <w:szCs w:val="24"/>
        </w:rPr>
        <w:t>Google</w:t>
      </w:r>
      <w:proofErr w:type="spellEnd"/>
      <w:r w:rsidRPr="00444AE8">
        <w:rPr>
          <w:szCs w:val="24"/>
        </w:rPr>
        <w:t xml:space="preserve"> </w:t>
      </w:r>
      <w:proofErr w:type="spellStart"/>
      <w:r w:rsidRPr="00444AE8">
        <w:rPr>
          <w:szCs w:val="24"/>
        </w:rPr>
        <w:t>Authenticator</w:t>
      </w:r>
      <w:proofErr w:type="spellEnd"/>
      <w:r w:rsidRPr="00444AE8">
        <w:rPr>
          <w:szCs w:val="24"/>
        </w:rPr>
        <w:t xml:space="preserve"> (</w:t>
      </w:r>
      <w:proofErr w:type="spellStart"/>
      <w:r w:rsidRPr="00444AE8">
        <w:rPr>
          <w:szCs w:val="24"/>
        </w:rPr>
        <w:t>Google</w:t>
      </w:r>
      <w:proofErr w:type="spellEnd"/>
      <w:r w:rsidRPr="00444AE8">
        <w:rPr>
          <w:szCs w:val="24"/>
        </w:rPr>
        <w:t xml:space="preserve"> </w:t>
      </w:r>
      <w:proofErr w:type="spellStart"/>
      <w:r w:rsidRPr="00444AE8">
        <w:rPr>
          <w:szCs w:val="24"/>
        </w:rPr>
        <w:t>Удостоверител</w:t>
      </w:r>
      <w:proofErr w:type="spellEnd"/>
      <w:r w:rsidRPr="00444AE8">
        <w:rPr>
          <w:szCs w:val="24"/>
        </w:rPr>
        <w:t xml:space="preserve">) е универсално приложение, което може да се използва за генериране на кодове за достъп към множество системи. За вход в системата за администриране на пазара MMS на </w:t>
      </w:r>
      <w:r w:rsidR="00DB3603" w:rsidRPr="00444AE8">
        <w:rPr>
          <w:szCs w:val="24"/>
        </w:rPr>
        <w:t>ЕСО</w:t>
      </w:r>
      <w:r w:rsidRPr="00444AE8">
        <w:rPr>
          <w:szCs w:val="24"/>
        </w:rPr>
        <w:t xml:space="preserve"> се използва кодът с идентификатор PS1 (e-</w:t>
      </w:r>
      <w:proofErr w:type="spellStart"/>
      <w:r w:rsidRPr="00444AE8">
        <w:rPr>
          <w:szCs w:val="24"/>
        </w:rPr>
        <w:t>mail</w:t>
      </w:r>
      <w:proofErr w:type="spellEnd"/>
      <w:r w:rsidRPr="00444AE8">
        <w:rPr>
          <w:szCs w:val="24"/>
        </w:rPr>
        <w:t xml:space="preserve"> адресът на потребителя) както е показано на примера по-горе.</w:t>
      </w:r>
    </w:p>
    <w:p w14:paraId="64A8EDA6" w14:textId="222161A4" w:rsidR="005A04E2" w:rsidRDefault="00ED6C03" w:rsidP="009170D7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 xml:space="preserve">Моля запазете </w:t>
      </w:r>
      <w:r>
        <w:rPr>
          <w:szCs w:val="24"/>
          <w:lang w:val="en-US"/>
        </w:rPr>
        <w:t xml:space="preserve">QR </w:t>
      </w:r>
      <w:r>
        <w:rPr>
          <w:szCs w:val="24"/>
        </w:rPr>
        <w:t xml:space="preserve">кода </w:t>
      </w:r>
      <w:r w:rsidR="00DF44B4">
        <w:rPr>
          <w:szCs w:val="24"/>
        </w:rPr>
        <w:t>и/</w:t>
      </w:r>
      <w:r>
        <w:rPr>
          <w:szCs w:val="24"/>
        </w:rPr>
        <w:t xml:space="preserve">или </w:t>
      </w:r>
      <w:r w:rsidR="00DF44B4">
        <w:rPr>
          <w:szCs w:val="24"/>
        </w:rPr>
        <w:t>буквено-цифрения код</w:t>
      </w:r>
      <w:r>
        <w:rPr>
          <w:szCs w:val="24"/>
        </w:rPr>
        <w:t xml:space="preserve"> по-долу на сигурно място, ако смятате да конфигурирате автентификацията на няколко устройства (например </w:t>
      </w:r>
      <w:r>
        <w:rPr>
          <w:szCs w:val="24"/>
          <w:lang w:val="en-US"/>
        </w:rPr>
        <w:t>desktop</w:t>
      </w:r>
      <w:r>
        <w:rPr>
          <w:szCs w:val="24"/>
        </w:rPr>
        <w:t xml:space="preserve"> компютър</w:t>
      </w:r>
      <w:r w:rsidR="00DF44B4">
        <w:rPr>
          <w:szCs w:val="24"/>
        </w:rPr>
        <w:t>, лаптоп, мобилен телефон и/или таблет</w:t>
      </w:r>
      <w:r>
        <w:rPr>
          <w:szCs w:val="24"/>
        </w:rPr>
        <w:t>)</w:t>
      </w:r>
      <w:r w:rsidR="00DF44B4">
        <w:rPr>
          <w:szCs w:val="24"/>
        </w:rPr>
        <w:t>. Ако се налага цялостно преинсталиране на софтуера на някое от тези устройства, ще се наложи да повторно въвеждане на този код.</w:t>
      </w:r>
    </w:p>
    <w:p w14:paraId="3DBF17BF" w14:textId="5A2BE89F" w:rsidR="005A04E2" w:rsidRPr="00123EDB" w:rsidRDefault="005A04E2" w:rsidP="009170D7">
      <w:pPr>
        <w:pStyle w:val="ListParagraph"/>
        <w:spacing w:before="480"/>
        <w:ind w:left="567"/>
        <w:jc w:val="both"/>
        <w:rPr>
          <w:szCs w:val="24"/>
        </w:rPr>
      </w:pPr>
      <w:r w:rsidRPr="00123EDB">
        <w:rPr>
          <w:szCs w:val="24"/>
        </w:rPr>
        <w:t xml:space="preserve">В един </w:t>
      </w:r>
      <w:proofErr w:type="spellStart"/>
      <w:r w:rsidRPr="00444AE8">
        <w:rPr>
          <w:szCs w:val="24"/>
        </w:rPr>
        <w:t>Google</w:t>
      </w:r>
      <w:proofErr w:type="spellEnd"/>
      <w:r w:rsidRPr="00444AE8">
        <w:rPr>
          <w:szCs w:val="24"/>
        </w:rPr>
        <w:t xml:space="preserve"> </w:t>
      </w:r>
      <w:proofErr w:type="spellStart"/>
      <w:r w:rsidRPr="00444AE8">
        <w:rPr>
          <w:szCs w:val="24"/>
        </w:rPr>
        <w:t>Authenticator</w:t>
      </w:r>
      <w:proofErr w:type="spellEnd"/>
      <w:r w:rsidRPr="00444AE8">
        <w:rPr>
          <w:szCs w:val="24"/>
        </w:rPr>
        <w:t xml:space="preserve"> (</w:t>
      </w:r>
      <w:proofErr w:type="spellStart"/>
      <w:r w:rsidRPr="00444AE8">
        <w:rPr>
          <w:szCs w:val="24"/>
        </w:rPr>
        <w:t>Google</w:t>
      </w:r>
      <w:proofErr w:type="spellEnd"/>
      <w:r w:rsidRPr="00444AE8">
        <w:rPr>
          <w:szCs w:val="24"/>
        </w:rPr>
        <w:t xml:space="preserve"> </w:t>
      </w:r>
      <w:proofErr w:type="spellStart"/>
      <w:r w:rsidRPr="00444AE8">
        <w:rPr>
          <w:szCs w:val="24"/>
        </w:rPr>
        <w:t>Удостоверител</w:t>
      </w:r>
      <w:proofErr w:type="spellEnd"/>
      <w:r w:rsidRPr="00444AE8">
        <w:rPr>
          <w:szCs w:val="24"/>
        </w:rPr>
        <w:t>)</w:t>
      </w:r>
      <w:r>
        <w:rPr>
          <w:szCs w:val="24"/>
          <w:lang w:val="en-US"/>
        </w:rPr>
        <w:t xml:space="preserve"> </w:t>
      </w:r>
      <w:r w:rsidRPr="00123EDB">
        <w:rPr>
          <w:szCs w:val="24"/>
        </w:rPr>
        <w:t xml:space="preserve">могат последователно да се регистрират повече от един потребител. След това </w:t>
      </w:r>
      <w:proofErr w:type="spellStart"/>
      <w:r>
        <w:rPr>
          <w:szCs w:val="24"/>
        </w:rPr>
        <w:t>удостоверителят</w:t>
      </w:r>
      <w:proofErr w:type="spellEnd"/>
      <w:r w:rsidRPr="00123EDB">
        <w:rPr>
          <w:szCs w:val="24"/>
        </w:rPr>
        <w:t xml:space="preserve"> ще издава </w:t>
      </w:r>
      <w:r w:rsidRPr="005A04E2">
        <w:rPr>
          <w:szCs w:val="24"/>
        </w:rPr>
        <w:t>променлив</w:t>
      </w:r>
      <w:r>
        <w:rPr>
          <w:szCs w:val="24"/>
        </w:rPr>
        <w:t>ите</w:t>
      </w:r>
      <w:r w:rsidRPr="00123EDB">
        <w:rPr>
          <w:szCs w:val="24"/>
        </w:rPr>
        <w:t xml:space="preserve"> кодове на всички потребители регистрирани в него. Например, ако са регистрирани двама</w:t>
      </w:r>
      <w:r>
        <w:rPr>
          <w:szCs w:val="24"/>
        </w:rPr>
        <w:t xml:space="preserve"> потребителя в</w:t>
      </w:r>
      <w:r w:rsidRPr="00123EDB">
        <w:rPr>
          <w:szCs w:val="24"/>
        </w:rPr>
        <w:t xml:space="preserve"> едно и също устройство (</w:t>
      </w:r>
      <w:r>
        <w:rPr>
          <w:szCs w:val="24"/>
          <w:lang w:val="en-US"/>
        </w:rPr>
        <w:t>G</w:t>
      </w:r>
      <w:proofErr w:type="spellStart"/>
      <w:r w:rsidRPr="00123EDB">
        <w:rPr>
          <w:szCs w:val="24"/>
        </w:rPr>
        <w:t>oogle</w:t>
      </w:r>
      <w:proofErr w:type="spellEnd"/>
      <w:r w:rsidRPr="00123EDB">
        <w:rPr>
          <w:szCs w:val="24"/>
        </w:rPr>
        <w:t xml:space="preserve"> </w:t>
      </w:r>
      <w:proofErr w:type="spellStart"/>
      <w:r w:rsidRPr="00123EDB">
        <w:rPr>
          <w:szCs w:val="24"/>
        </w:rPr>
        <w:t>Удостоверител</w:t>
      </w:r>
      <w:proofErr w:type="spellEnd"/>
      <w:r w:rsidRPr="00123EDB">
        <w:rPr>
          <w:szCs w:val="24"/>
        </w:rPr>
        <w:t xml:space="preserve">), екрана </w:t>
      </w:r>
      <w:r>
        <w:rPr>
          <w:szCs w:val="24"/>
        </w:rPr>
        <w:t xml:space="preserve">ще </w:t>
      </w:r>
      <w:r w:rsidRPr="00123EDB">
        <w:rPr>
          <w:szCs w:val="24"/>
        </w:rPr>
        <w:t>изглежда както е показано по-долу.</w:t>
      </w:r>
    </w:p>
    <w:p w14:paraId="6905B111" w14:textId="757C0123" w:rsidR="005A04E2" w:rsidRDefault="005A04E2" w:rsidP="00FD3BE0">
      <w:pPr>
        <w:pStyle w:val="ListParagraph"/>
        <w:spacing w:before="480"/>
        <w:ind w:left="567"/>
        <w:jc w:val="both"/>
        <w:rPr>
          <w:szCs w:val="24"/>
        </w:rPr>
      </w:pPr>
      <w:r>
        <w:rPr>
          <w:noProof/>
          <w:szCs w:val="24"/>
          <w:lang w:eastAsia="bg-BG"/>
        </w:rPr>
        <w:drawing>
          <wp:inline distT="0" distB="0" distL="0" distR="0" wp14:anchorId="78285FEA" wp14:editId="38963500">
            <wp:extent cx="1779905" cy="1316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18C15" w14:textId="210B2550" w:rsidR="00FD3BE0" w:rsidRDefault="00FD3BE0" w:rsidP="00FD3BE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lastRenderedPageBreak/>
        <w:t xml:space="preserve">Таймерът от дясната страна на всеки генериран код показва времето до изтичане на неговата валидност. След изтичане на валидността </w:t>
      </w:r>
      <w:r w:rsidR="00F72B31">
        <w:rPr>
          <w:szCs w:val="24"/>
        </w:rPr>
        <w:t>автоматично се генерира нов код, който потребителят следва да въведе в системата своевременно преди неговото изтичане.</w:t>
      </w:r>
    </w:p>
    <w:p w14:paraId="4BF7F47E" w14:textId="0929C3C2" w:rsidR="00F72B31" w:rsidRDefault="00FD3BE0" w:rsidP="00FD3BE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>При вход в системата</w:t>
      </w:r>
      <w:r w:rsidR="00F72B31">
        <w:rPr>
          <w:szCs w:val="24"/>
        </w:rPr>
        <w:t>,</w:t>
      </w:r>
      <w:r>
        <w:rPr>
          <w:szCs w:val="24"/>
        </w:rPr>
        <w:t xml:space="preserve"> </w:t>
      </w:r>
      <w:r w:rsidR="00F72B31">
        <w:rPr>
          <w:szCs w:val="24"/>
        </w:rPr>
        <w:t xml:space="preserve">след като потребителят въведе името и паролата си, на екрана се визуализира поле за въвеждане на временния код за достъп до системата (от примера по-горе </w:t>
      </w:r>
      <w:r w:rsidR="00F72B31">
        <w:rPr>
          <w:szCs w:val="24"/>
          <w:lang w:val="en-US"/>
        </w:rPr>
        <w:t>341801)</w:t>
      </w:r>
      <w:r w:rsidR="00F72B31">
        <w:rPr>
          <w:szCs w:val="24"/>
        </w:rPr>
        <w:t>.</w:t>
      </w:r>
    </w:p>
    <w:p w14:paraId="026B7113" w14:textId="77777777" w:rsidR="00FD3BE0" w:rsidRPr="00F72B31" w:rsidRDefault="00F72B31" w:rsidP="00FD3BE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>Екранът за въвеждане на временния код за достъп изглежда по следния начин:</w:t>
      </w:r>
    </w:p>
    <w:p w14:paraId="6EDD9D92" w14:textId="77777777" w:rsidR="00F72B31" w:rsidRPr="00F72B31" w:rsidRDefault="00F72B31" w:rsidP="00F72B31">
      <w:pPr>
        <w:pStyle w:val="ListParagraph"/>
        <w:spacing w:before="480"/>
        <w:ind w:left="567"/>
        <w:jc w:val="center"/>
        <w:rPr>
          <w:szCs w:val="24"/>
        </w:rPr>
      </w:pPr>
      <w:r>
        <w:rPr>
          <w:noProof/>
          <w:szCs w:val="24"/>
          <w:lang w:eastAsia="bg-BG"/>
        </w:rPr>
        <w:drawing>
          <wp:inline distT="0" distB="0" distL="0" distR="0" wp14:anchorId="1BD766A1" wp14:editId="3188E1BE">
            <wp:extent cx="5120640" cy="40233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E8AC" w14:textId="77777777" w:rsidR="00FD3BE0" w:rsidRDefault="002243BF" w:rsidP="0087441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 xml:space="preserve">Всички нови потребители в системата се създават с включена функция за </w:t>
      </w:r>
      <w:proofErr w:type="spellStart"/>
      <w:r>
        <w:rPr>
          <w:szCs w:val="24"/>
        </w:rPr>
        <w:t>двуфакторна</w:t>
      </w:r>
      <w:proofErr w:type="spellEnd"/>
      <w:r>
        <w:rPr>
          <w:szCs w:val="24"/>
        </w:rPr>
        <w:t xml:space="preserve"> автентификация и при първоначално влизане в системата потребителят следва освен да смени временната си парола с постоянна, </w:t>
      </w:r>
      <w:bookmarkStart w:id="0" w:name="_GoBack"/>
      <w:bookmarkEnd w:id="0"/>
      <w:r>
        <w:rPr>
          <w:szCs w:val="24"/>
        </w:rPr>
        <w:t xml:space="preserve">да регистрира и </w:t>
      </w:r>
      <w:r w:rsidR="0089679A">
        <w:rPr>
          <w:szCs w:val="24"/>
        </w:rPr>
        <w:t xml:space="preserve">потребителския си </w:t>
      </w:r>
      <w:r>
        <w:rPr>
          <w:szCs w:val="24"/>
        </w:rPr>
        <w:t xml:space="preserve">код за платформата в </w:t>
      </w:r>
      <w:proofErr w:type="spellStart"/>
      <w:r w:rsidRPr="00874410">
        <w:rPr>
          <w:szCs w:val="24"/>
        </w:rPr>
        <w:t>Google</w:t>
      </w:r>
      <w:proofErr w:type="spellEnd"/>
      <w:r w:rsidRPr="00874410">
        <w:rPr>
          <w:szCs w:val="24"/>
        </w:rPr>
        <w:t xml:space="preserve"> </w:t>
      </w:r>
      <w:proofErr w:type="spellStart"/>
      <w:r w:rsidRPr="00874410">
        <w:rPr>
          <w:szCs w:val="24"/>
        </w:rPr>
        <w:t>Authenticator</w:t>
      </w:r>
      <w:proofErr w:type="spellEnd"/>
      <w:r>
        <w:rPr>
          <w:szCs w:val="24"/>
        </w:rPr>
        <w:t>.</w:t>
      </w:r>
    </w:p>
    <w:p w14:paraId="6FD4D7FD" w14:textId="77777777" w:rsidR="0089679A" w:rsidRDefault="00865105" w:rsidP="00874410">
      <w:pPr>
        <w:pStyle w:val="ListParagraph"/>
        <w:spacing w:before="480"/>
        <w:ind w:left="567"/>
        <w:jc w:val="both"/>
        <w:rPr>
          <w:szCs w:val="24"/>
        </w:rPr>
      </w:pPr>
      <w:r>
        <w:rPr>
          <w:szCs w:val="24"/>
        </w:rPr>
        <w:t xml:space="preserve">В случай на загуба на </w:t>
      </w:r>
      <w:r>
        <w:rPr>
          <w:szCs w:val="24"/>
          <w:lang w:val="en-US"/>
        </w:rPr>
        <w:t xml:space="preserve">QR </w:t>
      </w:r>
      <w:r>
        <w:rPr>
          <w:szCs w:val="24"/>
        </w:rPr>
        <w:t>кода/ кода за ръчно въвеждане</w:t>
      </w:r>
      <w:r w:rsidR="00F72B31">
        <w:rPr>
          <w:szCs w:val="24"/>
        </w:rPr>
        <w:t>, тъй като те не могат да бъдат възстановени от потребителя, то</w:t>
      </w:r>
      <w:r>
        <w:rPr>
          <w:szCs w:val="24"/>
        </w:rPr>
        <w:t xml:space="preserve"> следва</w:t>
      </w:r>
      <w:r w:rsidR="00F72B31">
        <w:rPr>
          <w:szCs w:val="24"/>
        </w:rPr>
        <w:t xml:space="preserve"> той</w:t>
      </w:r>
      <w:r>
        <w:rPr>
          <w:szCs w:val="24"/>
        </w:rPr>
        <w:t xml:space="preserve"> да се свърже с отдел Администриране на търговията с електрическа енергия в ЕСО ЕАД (</w:t>
      </w:r>
      <w:r>
        <w:rPr>
          <w:szCs w:val="24"/>
          <w:lang w:val="en-US"/>
        </w:rPr>
        <w:t>e-mail</w:t>
      </w:r>
      <w:r>
        <w:rPr>
          <w:szCs w:val="24"/>
        </w:rPr>
        <w:t xml:space="preserve"> </w:t>
      </w:r>
      <w:hyperlink r:id="rId13" w:history="1">
        <w:r w:rsidRPr="000B5142">
          <w:rPr>
            <w:rStyle w:val="Hyperlink"/>
            <w:szCs w:val="24"/>
            <w:lang w:val="en-US"/>
          </w:rPr>
          <w:t>eto.admin@eso.bg</w:t>
        </w:r>
      </w:hyperlink>
      <w:r>
        <w:rPr>
          <w:szCs w:val="24"/>
          <w:lang w:val="en-US"/>
        </w:rPr>
        <w:t xml:space="preserve"> </w:t>
      </w:r>
      <w:r>
        <w:rPr>
          <w:szCs w:val="24"/>
        </w:rPr>
        <w:t xml:space="preserve">или телефон </w:t>
      </w:r>
      <w:r w:rsidRPr="00865105">
        <w:rPr>
          <w:szCs w:val="24"/>
        </w:rPr>
        <w:t>+359 2 9691 318</w:t>
      </w:r>
      <w:r>
        <w:rPr>
          <w:szCs w:val="24"/>
        </w:rPr>
        <w:t>) и да поиска генерирането на нови кодове за достъп.</w:t>
      </w:r>
    </w:p>
    <w:p w14:paraId="536EE604" w14:textId="37AB9270" w:rsidR="00894AB1" w:rsidRDefault="00894AB1" w:rsidP="00874410">
      <w:pPr>
        <w:pStyle w:val="ListParagraph"/>
        <w:spacing w:before="480"/>
        <w:ind w:left="567"/>
        <w:jc w:val="both"/>
        <w:rPr>
          <w:szCs w:val="24"/>
          <w:lang w:val="en-US"/>
        </w:rPr>
      </w:pPr>
      <w:r>
        <w:rPr>
          <w:szCs w:val="24"/>
        </w:rPr>
        <w:t xml:space="preserve">За участниците, които изпращат външни графици за обмен на електроенергия със съседни държави или участват на тръжните процедури за разпределение на преносни способности може освен на горепосочения адрес да се </w:t>
      </w:r>
      <w:r w:rsidR="00845221">
        <w:rPr>
          <w:szCs w:val="24"/>
        </w:rPr>
        <w:t xml:space="preserve">свържат с отдел </w:t>
      </w:r>
      <w:proofErr w:type="spellStart"/>
      <w:r w:rsidR="00845221">
        <w:rPr>
          <w:szCs w:val="24"/>
        </w:rPr>
        <w:t>Междусистемни</w:t>
      </w:r>
      <w:proofErr w:type="spellEnd"/>
      <w:r w:rsidR="00845221">
        <w:rPr>
          <w:szCs w:val="24"/>
        </w:rPr>
        <w:t xml:space="preserve"> обмени (тел. +359 2 9213 652 или на </w:t>
      </w:r>
      <w:r w:rsidR="00845221">
        <w:rPr>
          <w:szCs w:val="24"/>
          <w:lang w:val="en-GB"/>
        </w:rPr>
        <w:t xml:space="preserve">e-mail </w:t>
      </w:r>
      <w:hyperlink r:id="rId14" w:history="1">
        <w:r w:rsidR="009170D7" w:rsidRPr="009A1964">
          <w:rPr>
            <w:rStyle w:val="Hyperlink"/>
            <w:szCs w:val="24"/>
            <w:lang w:val="en-GB"/>
          </w:rPr>
          <w:t>eso.auction</w:t>
        </w:r>
        <w:r w:rsidR="009170D7" w:rsidRPr="009A1964">
          <w:rPr>
            <w:rStyle w:val="Hyperlink"/>
            <w:szCs w:val="24"/>
            <w:lang w:val="en-US"/>
          </w:rPr>
          <w:t>@eso.bg</w:t>
        </w:r>
      </w:hyperlink>
      <w:r w:rsidR="009170D7">
        <w:rPr>
          <w:szCs w:val="24"/>
          <w:lang w:val="en-US"/>
        </w:rPr>
        <w:t xml:space="preserve"> </w:t>
      </w:r>
      <w:r w:rsidR="00845221">
        <w:rPr>
          <w:szCs w:val="24"/>
          <w:lang w:val="en-US"/>
        </w:rPr>
        <w:t>).</w:t>
      </w:r>
    </w:p>
    <w:p w14:paraId="25EB3305" w14:textId="34984FF3" w:rsidR="005A04E2" w:rsidRPr="00444AE8" w:rsidRDefault="005A04E2" w:rsidP="00874410">
      <w:pPr>
        <w:pStyle w:val="ListParagraph"/>
        <w:spacing w:before="480"/>
        <w:ind w:left="567"/>
        <w:jc w:val="both"/>
        <w:rPr>
          <w:szCs w:val="24"/>
          <w:lang w:val="en-US"/>
        </w:rPr>
      </w:pPr>
    </w:p>
    <w:sectPr w:rsidR="005A04E2" w:rsidRPr="00444AE8">
      <w:headerReference w:type="default" r:id="rId15"/>
      <w:pgSz w:w="11906" w:h="16838"/>
      <w:pgMar w:top="1417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5816" w14:textId="77777777" w:rsidR="00E42AFF" w:rsidRDefault="00E42AFF">
      <w:pPr>
        <w:spacing w:after="0" w:line="240" w:lineRule="auto"/>
      </w:pPr>
      <w:r>
        <w:separator/>
      </w:r>
    </w:p>
  </w:endnote>
  <w:endnote w:type="continuationSeparator" w:id="0">
    <w:p w14:paraId="1C3B0B06" w14:textId="77777777" w:rsidR="00E42AFF" w:rsidRDefault="00E4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AC6E" w14:textId="77777777" w:rsidR="00E42AFF" w:rsidRDefault="00E42AFF">
      <w:pPr>
        <w:spacing w:after="0" w:line="240" w:lineRule="auto"/>
      </w:pPr>
      <w:r>
        <w:separator/>
      </w:r>
    </w:p>
  </w:footnote>
  <w:footnote w:type="continuationSeparator" w:id="0">
    <w:p w14:paraId="369EF8A4" w14:textId="77777777" w:rsidR="00E42AFF" w:rsidRDefault="00E4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67"/>
      <w:gridCol w:w="2339"/>
      <w:gridCol w:w="2268"/>
      <w:gridCol w:w="3922"/>
    </w:tblGrid>
    <w:tr w:rsidR="001D452E" w14:paraId="38CA6220" w14:textId="77777777">
      <w:trPr>
        <w:cantSplit/>
        <w:trHeight w:val="413"/>
        <w:jc w:val="center"/>
      </w:trPr>
      <w:tc>
        <w:tcPr>
          <w:tcW w:w="1867" w:type="dxa"/>
          <w:vMerge w:val="restart"/>
          <w:vAlign w:val="center"/>
        </w:tcPr>
        <w:p w14:paraId="6980FE66" w14:textId="77777777" w:rsidR="001D452E" w:rsidRDefault="00C17FA1">
          <w:pPr>
            <w:pStyle w:val="Header"/>
            <w:spacing w:before="120" w:after="120"/>
            <w:ind w:left="57" w:right="-119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ЕСО ЕАД</w:t>
          </w:r>
        </w:p>
      </w:tc>
      <w:tc>
        <w:tcPr>
          <w:tcW w:w="8529" w:type="dxa"/>
          <w:gridSpan w:val="3"/>
          <w:tcBorders>
            <w:bottom w:val="single" w:sz="4" w:space="0" w:color="auto"/>
          </w:tcBorders>
          <w:vAlign w:val="center"/>
        </w:tcPr>
        <w:p w14:paraId="14AC8080" w14:textId="77777777" w:rsidR="001D452E" w:rsidRDefault="00C17FA1">
          <w:pPr>
            <w:spacing w:after="0" w:line="240" w:lineRule="auto"/>
            <w:jc w:val="center"/>
            <w:rPr>
              <w:rFonts w:ascii="Arial" w:eastAsia="Times New Roman" w:hAnsi="Arial" w:cs="Arial"/>
              <w:lang w:eastAsia="bg-BG"/>
            </w:rPr>
          </w:pPr>
          <w:r>
            <w:rPr>
              <w:rFonts w:eastAsia="Times New Roman"/>
              <w:b/>
              <w:sz w:val="28"/>
              <w:szCs w:val="28"/>
              <w:lang w:eastAsia="bg-BG"/>
            </w:rPr>
            <w:t>ИНСТРУКЦИЯ</w:t>
          </w:r>
        </w:p>
      </w:tc>
    </w:tr>
    <w:tr w:rsidR="001D452E" w14:paraId="0E5315E4" w14:textId="77777777">
      <w:trPr>
        <w:cantSplit/>
        <w:trHeight w:val="70"/>
        <w:jc w:val="center"/>
      </w:trPr>
      <w:tc>
        <w:tcPr>
          <w:tcW w:w="1867" w:type="dxa"/>
          <w:vMerge/>
          <w:vAlign w:val="center"/>
        </w:tcPr>
        <w:p w14:paraId="4723453C" w14:textId="77777777" w:rsidR="001D452E" w:rsidRDefault="001D452E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8529" w:type="dxa"/>
          <w:gridSpan w:val="3"/>
          <w:tcBorders>
            <w:top w:val="single" w:sz="4" w:space="0" w:color="auto"/>
          </w:tcBorders>
          <w:vAlign w:val="center"/>
        </w:tcPr>
        <w:p w14:paraId="2F23DFF2" w14:textId="77777777" w:rsidR="001D452E" w:rsidRDefault="001F2BCA">
          <w:pPr>
            <w:pStyle w:val="Header"/>
            <w:tabs>
              <w:tab w:val="center" w:pos="0"/>
            </w:tabs>
            <w:jc w:val="center"/>
            <w:rPr>
              <w:b/>
            </w:rPr>
          </w:pPr>
          <w:r>
            <w:rPr>
              <w:rFonts w:eastAsia="Times New Roman"/>
              <w:b/>
              <w:color w:val="000000"/>
              <w:lang w:eastAsia="bg-BG"/>
            </w:rPr>
            <w:t>ДВУФАКТОРНА АВТЕНТИФИКАЦИЯ</w:t>
          </w:r>
          <w:r w:rsidR="00C17FA1">
            <w:rPr>
              <w:rFonts w:eastAsia="Times New Roman"/>
              <w:b/>
              <w:color w:val="000000"/>
              <w:lang w:eastAsia="bg-BG"/>
            </w:rPr>
            <w:t xml:space="preserve"> </w:t>
          </w:r>
        </w:p>
      </w:tc>
    </w:tr>
    <w:tr w:rsidR="001D452E" w14:paraId="6EA11E3E" w14:textId="77777777">
      <w:trPr>
        <w:cantSplit/>
        <w:trHeight w:val="171"/>
        <w:jc w:val="center"/>
      </w:trPr>
      <w:tc>
        <w:tcPr>
          <w:tcW w:w="1867" w:type="dxa"/>
          <w:vMerge/>
        </w:tcPr>
        <w:p w14:paraId="247B908A" w14:textId="77777777" w:rsidR="001D452E" w:rsidRDefault="001D452E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2339" w:type="dxa"/>
          <w:vAlign w:val="center"/>
        </w:tcPr>
        <w:p w14:paraId="3364C744" w14:textId="77777777" w:rsidR="001D452E" w:rsidRDefault="00C17FA1">
          <w:pPr>
            <w:pStyle w:val="Header"/>
            <w:rPr>
              <w:lang w:val="en-US"/>
            </w:rPr>
          </w:pPr>
          <w:r>
            <w:t>Версия: 0</w:t>
          </w:r>
          <w:r w:rsidR="001F2BCA">
            <w:rPr>
              <w:lang w:val="en-US"/>
            </w:rPr>
            <w:t>1</w:t>
          </w:r>
        </w:p>
      </w:tc>
      <w:tc>
        <w:tcPr>
          <w:tcW w:w="2268" w:type="dxa"/>
          <w:vAlign w:val="center"/>
        </w:tcPr>
        <w:p w14:paraId="3C3D39F8" w14:textId="7C48ABAF" w:rsidR="001D452E" w:rsidRDefault="00C17FA1">
          <w:pPr>
            <w:pStyle w:val="Header"/>
            <w:rPr>
              <w:lang w:val="en-US"/>
            </w:rPr>
          </w:pPr>
          <w:proofErr w:type="spellStart"/>
          <w:r>
            <w:t>Изм</w:t>
          </w:r>
          <w:proofErr w:type="spellEnd"/>
          <w:r>
            <w:rPr>
              <w:lang w:val="en-US"/>
            </w:rPr>
            <w:t>:</w:t>
          </w:r>
          <w:r>
            <w:t xml:space="preserve"> </w:t>
          </w:r>
          <w:r w:rsidR="008B31D4">
            <w:t>2</w:t>
          </w:r>
        </w:p>
      </w:tc>
      <w:tc>
        <w:tcPr>
          <w:tcW w:w="3922" w:type="dxa"/>
          <w:vAlign w:val="center"/>
        </w:tcPr>
        <w:p w14:paraId="13E5B6C3" w14:textId="1CF3C79C" w:rsidR="001D452E" w:rsidRDefault="00C17FA1" w:rsidP="008B31D4">
          <w:pPr>
            <w:pStyle w:val="Header"/>
          </w:pPr>
          <w:r>
            <w:t xml:space="preserve">В сила от: </w:t>
          </w:r>
          <w:r w:rsidR="00FD3BE0">
            <w:rPr>
              <w:lang w:val="en-US"/>
            </w:rPr>
            <w:t>1</w:t>
          </w:r>
          <w:r>
            <w:rPr>
              <w:lang w:val="en-US"/>
            </w:rPr>
            <w:t xml:space="preserve"> </w:t>
          </w:r>
          <w:r w:rsidR="008B31D4">
            <w:t>март</w:t>
          </w:r>
          <w:r w:rsidR="001F2BCA">
            <w:t xml:space="preserve"> 202</w:t>
          </w:r>
          <w:r w:rsidR="008B31D4">
            <w:t>2</w:t>
          </w:r>
          <w:r w:rsidR="001F2BCA">
            <w:t xml:space="preserve"> г.</w:t>
          </w:r>
        </w:p>
      </w:tc>
    </w:tr>
  </w:tbl>
  <w:p w14:paraId="361234B3" w14:textId="77777777" w:rsidR="001D452E" w:rsidRDefault="001D4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6CD"/>
    <w:multiLevelType w:val="hybridMultilevel"/>
    <w:tmpl w:val="F56AA43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FA8"/>
    <w:multiLevelType w:val="hybridMultilevel"/>
    <w:tmpl w:val="9D3A5C2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A60B5"/>
    <w:multiLevelType w:val="hybridMultilevel"/>
    <w:tmpl w:val="3692F8A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C3E0D"/>
    <w:multiLevelType w:val="hybridMultilevel"/>
    <w:tmpl w:val="50D20366"/>
    <w:lvl w:ilvl="0" w:tplc="9F0CF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771AC"/>
    <w:multiLevelType w:val="hybridMultilevel"/>
    <w:tmpl w:val="E31653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3B24DE"/>
    <w:multiLevelType w:val="hybridMultilevel"/>
    <w:tmpl w:val="D872108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D04756"/>
    <w:multiLevelType w:val="hybridMultilevel"/>
    <w:tmpl w:val="91B433AC"/>
    <w:lvl w:ilvl="0" w:tplc="C19AD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AF0A99"/>
    <w:multiLevelType w:val="hybridMultilevel"/>
    <w:tmpl w:val="C1F464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87112"/>
    <w:multiLevelType w:val="hybridMultilevel"/>
    <w:tmpl w:val="B1803068"/>
    <w:lvl w:ilvl="0" w:tplc="DDEEA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BDB658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656C23"/>
    <w:multiLevelType w:val="hybridMultilevel"/>
    <w:tmpl w:val="AC4455BE"/>
    <w:lvl w:ilvl="0" w:tplc="A0102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2E"/>
    <w:rsid w:val="000A71F9"/>
    <w:rsid w:val="000A7C4A"/>
    <w:rsid w:val="00123EDB"/>
    <w:rsid w:val="001555EA"/>
    <w:rsid w:val="001D452E"/>
    <w:rsid w:val="001F2BCA"/>
    <w:rsid w:val="002243BF"/>
    <w:rsid w:val="002B3B36"/>
    <w:rsid w:val="002B4040"/>
    <w:rsid w:val="002D6513"/>
    <w:rsid w:val="00310453"/>
    <w:rsid w:val="00333C48"/>
    <w:rsid w:val="003369B5"/>
    <w:rsid w:val="003F63C8"/>
    <w:rsid w:val="00444AE8"/>
    <w:rsid w:val="004757A5"/>
    <w:rsid w:val="005A04E2"/>
    <w:rsid w:val="005F2FA5"/>
    <w:rsid w:val="00615547"/>
    <w:rsid w:val="00802E4D"/>
    <w:rsid w:val="00845221"/>
    <w:rsid w:val="00865105"/>
    <w:rsid w:val="00874410"/>
    <w:rsid w:val="00894AB1"/>
    <w:rsid w:val="0089679A"/>
    <w:rsid w:val="008B31D4"/>
    <w:rsid w:val="008F0107"/>
    <w:rsid w:val="009170D7"/>
    <w:rsid w:val="00946F07"/>
    <w:rsid w:val="00960439"/>
    <w:rsid w:val="009A08F6"/>
    <w:rsid w:val="009B0068"/>
    <w:rsid w:val="00A5328E"/>
    <w:rsid w:val="00A54F4F"/>
    <w:rsid w:val="00B07483"/>
    <w:rsid w:val="00B87079"/>
    <w:rsid w:val="00BF19A9"/>
    <w:rsid w:val="00C0544A"/>
    <w:rsid w:val="00C17FA1"/>
    <w:rsid w:val="00C8355E"/>
    <w:rsid w:val="00D15D3D"/>
    <w:rsid w:val="00D30921"/>
    <w:rsid w:val="00DB3603"/>
    <w:rsid w:val="00DC7AF4"/>
    <w:rsid w:val="00DF44B4"/>
    <w:rsid w:val="00E42AFF"/>
    <w:rsid w:val="00E774D4"/>
    <w:rsid w:val="00E80151"/>
    <w:rsid w:val="00ED6C03"/>
    <w:rsid w:val="00F237B1"/>
    <w:rsid w:val="00F47E1D"/>
    <w:rsid w:val="00F72B31"/>
    <w:rsid w:val="00F94812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F80E54"/>
  <w15:docId w15:val="{0D4424B5-D6DF-4881-BA88-A77BA388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eastAsia="Calibr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eastAsia="Calibri" w:cs="Tahoma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0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.admin@eso.bg" TargetMode="External"/><Relationship Id="rId13" Type="http://schemas.openxmlformats.org/officeDocument/2006/relationships/hyperlink" Target="mailto:eto.admin@eso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so.auction@es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61CA-9425-477B-AAB0-04FBBC92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PPetropavlov</dc:creator>
  <cp:lastModifiedBy>Стефан Орлинов Качаков</cp:lastModifiedBy>
  <cp:revision>5</cp:revision>
  <cp:lastPrinted>2020-04-16T11:56:00Z</cp:lastPrinted>
  <dcterms:created xsi:type="dcterms:W3CDTF">2022-03-01T10:25:00Z</dcterms:created>
  <dcterms:modified xsi:type="dcterms:W3CDTF">2022-03-07T09:14:00Z</dcterms:modified>
</cp:coreProperties>
</file>