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F87A" w14:textId="77777777" w:rsidR="000A43C2" w:rsidRDefault="000A43C2" w:rsidP="00D30635"/>
    <w:p w14:paraId="57F123C1" w14:textId="77777777" w:rsidR="00FD0E2E" w:rsidRDefault="00C77880" w:rsidP="00D30635">
      <w:r>
        <w:t>Уважаеми дами и господа,</w:t>
      </w:r>
    </w:p>
    <w:p w14:paraId="5D0368AB" w14:textId="36623FA4" w:rsidR="009C4956" w:rsidRDefault="00C77880" w:rsidP="00FD484E">
      <w:pPr>
        <w:jc w:val="both"/>
      </w:pPr>
      <w:r>
        <w:t xml:space="preserve">След успешното въвеждане на Етап 1 от Инструкцията по чл.88, ал.3 от ПТЕЕ за </w:t>
      </w:r>
      <w:r w:rsidR="00FD484E" w:rsidRPr="00FD484E">
        <w:t>единен</w:t>
      </w:r>
      <w:r w:rsidR="00FD484E">
        <w:t xml:space="preserve"> </w:t>
      </w:r>
      <w:r w:rsidR="00FD484E" w:rsidRPr="00FD484E">
        <w:t>електронен формат за обмен на данни</w:t>
      </w:r>
      <w:r w:rsidR="00FD484E">
        <w:t xml:space="preserve">, </w:t>
      </w:r>
      <w:r w:rsidR="00BC400C">
        <w:t xml:space="preserve">с което </w:t>
      </w:r>
      <w:r w:rsidR="00FD484E">
        <w:t>стартира електронния обмен на данни</w:t>
      </w:r>
      <w:r w:rsidR="00A52B84">
        <w:t xml:space="preserve"> </w:t>
      </w:r>
      <w:r w:rsidR="00FD484E">
        <w:t>по период</w:t>
      </w:r>
      <w:r w:rsidR="00B41D8C">
        <w:t>и</w:t>
      </w:r>
      <w:r w:rsidR="00FD484E">
        <w:t xml:space="preserve"> на сетълмент, ЕСО</w:t>
      </w:r>
      <w:r w:rsidR="00C37757">
        <w:t xml:space="preserve"> ЕАД</w:t>
      </w:r>
      <w:r w:rsidR="00FD484E">
        <w:t xml:space="preserve"> и Електроразпределителните дружества направиха актуализация на Инструкцията </w:t>
      </w:r>
      <w:r w:rsidR="009C4956">
        <w:t xml:space="preserve">за </w:t>
      </w:r>
      <w:r w:rsidR="00FD484E">
        <w:t>въвеждане на Етап 2.</w:t>
      </w:r>
      <w:bookmarkStart w:id="0" w:name="_GoBack"/>
      <w:bookmarkEnd w:id="0"/>
    </w:p>
    <w:p w14:paraId="58F58F3C" w14:textId="053F9EA4" w:rsidR="00A52B84" w:rsidRDefault="00A52B84" w:rsidP="00FD484E">
      <w:pPr>
        <w:jc w:val="both"/>
      </w:pPr>
      <w:r>
        <w:t xml:space="preserve">Моля да се запознаете с </w:t>
      </w:r>
      <w:r w:rsidR="00900E32">
        <w:t>версия</w:t>
      </w:r>
      <w:r w:rsidR="009C4956">
        <w:t xml:space="preserve"> </w:t>
      </w:r>
      <w:r w:rsidR="00BC400C">
        <w:t>2</w:t>
      </w:r>
      <w:r w:rsidR="00604861">
        <w:t xml:space="preserve"> </w:t>
      </w:r>
      <w:r w:rsidR="009C4956">
        <w:t>на Инструкция</w:t>
      </w:r>
      <w:r w:rsidR="00604861">
        <w:t>т</w:t>
      </w:r>
      <w:r w:rsidR="009C4956">
        <w:t>а</w:t>
      </w:r>
      <w:r>
        <w:t xml:space="preserve">, публикувана на сайта на ЕСО </w:t>
      </w:r>
      <w:r w:rsidR="00C37757">
        <w:t xml:space="preserve">ЕАД </w:t>
      </w:r>
      <w:r w:rsidR="00FB7BFB">
        <w:t xml:space="preserve">на 16 декември 2022 г, </w:t>
      </w:r>
      <w:r w:rsidR="00FB7BFB">
        <w:rPr>
          <w:lang w:val="en-US"/>
        </w:rPr>
        <w:t xml:space="preserve"> </w:t>
      </w:r>
      <w:r>
        <w:t>линк</w:t>
      </w:r>
      <w:r w:rsidR="00C37757">
        <w:t>:</w:t>
      </w:r>
      <w:r>
        <w:t xml:space="preserve"> </w:t>
      </w:r>
      <w:r w:rsidRPr="00C750AE">
        <w:rPr>
          <w:i/>
        </w:rPr>
        <w:t>Актуално</w:t>
      </w:r>
      <w:r w:rsidR="00C37757">
        <w:rPr>
          <w:i/>
        </w:rPr>
        <w:t>&gt;&gt;</w:t>
      </w:r>
      <w:r w:rsidRPr="00C750AE">
        <w:rPr>
          <w:i/>
        </w:rPr>
        <w:t xml:space="preserve"> Електроенергиен пазар</w:t>
      </w:r>
      <w:r w:rsidR="00C37757">
        <w:rPr>
          <w:i/>
        </w:rPr>
        <w:t>&gt;&gt;</w:t>
      </w:r>
      <w:r w:rsidRPr="00C750AE">
        <w:rPr>
          <w:i/>
        </w:rPr>
        <w:t xml:space="preserve"> Документи</w:t>
      </w:r>
      <w:r w:rsidR="00C37757">
        <w:rPr>
          <w:i/>
        </w:rPr>
        <w:t xml:space="preserve"> за участие на пазара&gt;&gt;</w:t>
      </w:r>
      <w:r w:rsidRPr="00C750AE">
        <w:rPr>
          <w:i/>
        </w:rPr>
        <w:t xml:space="preserve"> Инструкции</w:t>
      </w:r>
      <w:r>
        <w:t>.</w:t>
      </w:r>
    </w:p>
    <w:p w14:paraId="5F84CEC1" w14:textId="40281835" w:rsidR="00FD484E" w:rsidRDefault="00FD484E" w:rsidP="00FD484E">
      <w:pPr>
        <w:jc w:val="both"/>
      </w:pPr>
      <w:r>
        <w:t xml:space="preserve">Етап 2 включва следните процеси по предоставяне на данни от </w:t>
      </w:r>
      <w:r w:rsidR="001C70EE">
        <w:t>операторите на разпределителни мрежи</w:t>
      </w:r>
      <w:r>
        <w:t xml:space="preserve"> към търговските участници</w:t>
      </w:r>
      <w:r w:rsidR="009C4956">
        <w:t xml:space="preserve"> </w:t>
      </w:r>
      <w:r w:rsidR="00604861">
        <w:t xml:space="preserve">за клиентите </w:t>
      </w:r>
      <w:r w:rsidR="009C4956">
        <w:t>с комбинирани договори за ел. снабдяване и мрежови услуги в ТИ</w:t>
      </w:r>
      <w:r>
        <w:t>: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2"/>
        <w:gridCol w:w="1281"/>
        <w:gridCol w:w="2431"/>
      </w:tblGrid>
      <w:tr w:rsidR="007A7171" w:rsidRPr="007A7171" w14:paraId="63B39824" w14:textId="77777777" w:rsidTr="009C4956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B9C7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Наименование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BDD7" w14:textId="77777777" w:rsidR="007A7171" w:rsidRPr="00B41D8C" w:rsidRDefault="007A7171" w:rsidP="007A7171">
            <w:pPr>
              <w:spacing w:after="0" w:line="240" w:lineRule="auto"/>
            </w:pPr>
            <w:r w:rsidRPr="00B41D8C">
              <w:t>Тип съобщение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EF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Номер транзакция</w:t>
            </w:r>
          </w:p>
        </w:tc>
      </w:tr>
      <w:tr w:rsidR="007A7171" w:rsidRPr="007A7171" w14:paraId="7DCBD321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81A1" w14:textId="2FA8C768" w:rsidR="007A7171" w:rsidRPr="00B41D8C" w:rsidRDefault="007A7171" w:rsidP="007A7171">
            <w:pPr>
              <w:spacing w:after="0" w:line="240" w:lineRule="auto"/>
            </w:pPr>
            <w:r w:rsidRPr="00B41D8C">
              <w:t xml:space="preserve">Пълни основни данни, СТИ с начални показания на ТИ, променили ДЕЕ/КБГ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F48C" w14:textId="77777777" w:rsidR="007A7171" w:rsidRPr="00B41D8C" w:rsidRDefault="007A7171" w:rsidP="007A7171">
            <w:pPr>
              <w:spacing w:after="0" w:line="240" w:lineRule="auto"/>
            </w:pPr>
            <w:r w:rsidRPr="00B41D8C">
              <w:t>UTILMD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90D3" w14:textId="77777777" w:rsidR="007A7171" w:rsidRPr="00B41D8C" w:rsidRDefault="007A7171" w:rsidP="007A7171">
            <w:pPr>
              <w:spacing w:after="0" w:line="240" w:lineRule="auto"/>
            </w:pPr>
            <w:r w:rsidRPr="00B41D8C">
              <w:t>343</w:t>
            </w:r>
          </w:p>
        </w:tc>
      </w:tr>
      <w:tr w:rsidR="007A7171" w:rsidRPr="00565F57" w14:paraId="1D5525F7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8916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Промяна на основни данни - промяна на измервателна група (СТИ и коефициент на трансформация)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BA47" w14:textId="77777777" w:rsidR="007A7171" w:rsidRPr="00B41D8C" w:rsidRDefault="007A7171" w:rsidP="007A7171">
            <w:pPr>
              <w:spacing w:after="0" w:line="240" w:lineRule="auto"/>
            </w:pPr>
            <w:r w:rsidRPr="00B41D8C">
              <w:t>UTILMD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12DA" w14:textId="77777777" w:rsidR="007A7171" w:rsidRPr="00B41D8C" w:rsidRDefault="007A7171" w:rsidP="007A7171">
            <w:pPr>
              <w:spacing w:after="0" w:line="240" w:lineRule="auto"/>
            </w:pPr>
            <w:r w:rsidRPr="00B41D8C">
              <w:t>521</w:t>
            </w:r>
          </w:p>
        </w:tc>
      </w:tr>
      <w:tr w:rsidR="007A7171" w:rsidRPr="007A7171" w14:paraId="78FFF328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671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Промяна на основни данни - промяна на тип товаров профил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725A" w14:textId="77777777" w:rsidR="007A7171" w:rsidRPr="00B41D8C" w:rsidRDefault="007A7171" w:rsidP="007A7171">
            <w:pPr>
              <w:spacing w:after="0" w:line="240" w:lineRule="auto"/>
            </w:pPr>
            <w:r w:rsidRPr="00B41D8C">
              <w:t>UTILMD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D6B7" w14:textId="77777777" w:rsidR="007A7171" w:rsidRPr="00B41D8C" w:rsidRDefault="007A7171" w:rsidP="007A7171">
            <w:pPr>
              <w:spacing w:after="0" w:line="240" w:lineRule="auto"/>
            </w:pPr>
            <w:r w:rsidRPr="00B41D8C">
              <w:t>523</w:t>
            </w:r>
          </w:p>
        </w:tc>
      </w:tr>
      <w:tr w:rsidR="007A7171" w:rsidRPr="007A7171" w14:paraId="4EBA9609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4D14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Промяна на основни данни - промяна на параметри за фактуриране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C260" w14:textId="77777777" w:rsidR="007A7171" w:rsidRPr="00B41D8C" w:rsidRDefault="007A7171" w:rsidP="007A7171">
            <w:pPr>
              <w:spacing w:after="0" w:line="240" w:lineRule="auto"/>
            </w:pPr>
            <w:r w:rsidRPr="00B41D8C">
              <w:t>UTILMD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82A4" w14:textId="77777777" w:rsidR="007A7171" w:rsidRPr="00B41D8C" w:rsidRDefault="007A7171" w:rsidP="007A7171">
            <w:pPr>
              <w:spacing w:after="0" w:line="240" w:lineRule="auto"/>
            </w:pPr>
            <w:r w:rsidRPr="00B41D8C">
              <w:t>524</w:t>
            </w:r>
          </w:p>
        </w:tc>
      </w:tr>
      <w:tr w:rsidR="007A7171" w:rsidRPr="007A7171" w14:paraId="292FDC73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A38B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Промяна на основни данни - промяна на предоставена мощност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0841" w14:textId="77777777" w:rsidR="007A7171" w:rsidRPr="00B41D8C" w:rsidRDefault="007A7171" w:rsidP="007A7171">
            <w:pPr>
              <w:spacing w:after="0" w:line="240" w:lineRule="auto"/>
            </w:pPr>
            <w:r w:rsidRPr="00B41D8C">
              <w:t>UTILMD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669A6" w14:textId="77777777" w:rsidR="007A7171" w:rsidRPr="00B41D8C" w:rsidRDefault="007A7171" w:rsidP="007A7171">
            <w:pPr>
              <w:spacing w:after="0" w:line="240" w:lineRule="auto"/>
            </w:pPr>
            <w:r w:rsidRPr="00B41D8C">
              <w:t>525</w:t>
            </w:r>
          </w:p>
        </w:tc>
      </w:tr>
      <w:tr w:rsidR="007A7171" w:rsidRPr="007A7171" w14:paraId="03B315A0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E4C5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Данни за фактуриране на мрежови услуги в 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2DDD" w14:textId="77777777" w:rsidR="007A7171" w:rsidRPr="00B41D8C" w:rsidRDefault="007A7171" w:rsidP="007A7171">
            <w:pPr>
              <w:spacing w:after="0" w:line="240" w:lineRule="auto"/>
            </w:pPr>
            <w:r w:rsidRPr="00B41D8C">
              <w:t>MSCONS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3806" w14:textId="77777777" w:rsidR="007A7171" w:rsidRPr="00B41D8C" w:rsidRDefault="007A7171" w:rsidP="007A7171">
            <w:pPr>
              <w:spacing w:after="0" w:line="240" w:lineRule="auto"/>
            </w:pPr>
            <w:r w:rsidRPr="00B41D8C">
              <w:t xml:space="preserve">810, 870, 860, 865 </w:t>
            </w:r>
          </w:p>
        </w:tc>
      </w:tr>
      <w:tr w:rsidR="007A7171" w:rsidRPr="007A7171" w14:paraId="5B3A01F8" w14:textId="77777777" w:rsidTr="009C4956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4DA1" w14:textId="77777777" w:rsidR="007A7171" w:rsidRPr="00B41D8C" w:rsidRDefault="007A7171" w:rsidP="007A7171">
            <w:pPr>
              <w:spacing w:after="0" w:line="240" w:lineRule="auto"/>
            </w:pPr>
            <w:r w:rsidRPr="00B41D8C">
              <w:t>Данни за начисление на мрежови услуги в 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DD4D" w14:textId="77777777" w:rsidR="007A7171" w:rsidRPr="00B41D8C" w:rsidRDefault="007A7171" w:rsidP="007A7171">
            <w:pPr>
              <w:spacing w:after="0" w:line="240" w:lineRule="auto"/>
            </w:pPr>
            <w:r w:rsidRPr="00B41D8C">
              <w:t>INVOIC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9535" w14:textId="77777777" w:rsidR="007A7171" w:rsidRPr="00B41D8C" w:rsidRDefault="007A7171" w:rsidP="007A7171">
            <w:pPr>
              <w:spacing w:after="0" w:line="240" w:lineRule="auto"/>
            </w:pPr>
            <w:r w:rsidRPr="00B41D8C">
              <w:t>910, 970, 915</w:t>
            </w:r>
          </w:p>
        </w:tc>
      </w:tr>
    </w:tbl>
    <w:p w14:paraId="5B6A80B3" w14:textId="77777777" w:rsidR="00FB7BFB" w:rsidRDefault="00FB7BFB" w:rsidP="00FD484E">
      <w:pPr>
        <w:jc w:val="both"/>
      </w:pPr>
    </w:p>
    <w:p w14:paraId="1FD84BAA" w14:textId="56D83E28" w:rsidR="00FB7BFB" w:rsidRDefault="00FB7BFB" w:rsidP="00FD484E">
      <w:pPr>
        <w:jc w:val="both"/>
      </w:pPr>
      <w:r>
        <w:t>Подготовката на мрежовите оператори и търговски</w:t>
      </w:r>
      <w:r w:rsidR="001E3CF6">
        <w:t>те</w:t>
      </w:r>
      <w:r>
        <w:t xml:space="preserve"> участници по въвеждане на </w:t>
      </w:r>
      <w:r w:rsidR="001A7C1E">
        <w:t>Е</w:t>
      </w:r>
      <w:r>
        <w:t xml:space="preserve">тап 2, </w:t>
      </w:r>
      <w:r w:rsidR="001A7C1E">
        <w:t xml:space="preserve">както и </w:t>
      </w:r>
      <w:r>
        <w:t>необходим</w:t>
      </w:r>
      <w:r w:rsidR="001A7C1E">
        <w:t xml:space="preserve">ата настройка </w:t>
      </w:r>
      <w:r>
        <w:t>на</w:t>
      </w:r>
      <w:r w:rsidR="00E07F40">
        <w:t xml:space="preserve"> </w:t>
      </w:r>
      <w:r w:rsidR="001A7C1E">
        <w:t>информационни</w:t>
      </w:r>
      <w:r w:rsidR="00C37757">
        <w:t>те</w:t>
      </w:r>
      <w:r w:rsidR="001A7C1E">
        <w:t xml:space="preserve"> </w:t>
      </w:r>
      <w:r>
        <w:t>системи</w:t>
      </w:r>
      <w:r w:rsidR="001E3CF6">
        <w:t>,</w:t>
      </w:r>
      <w:r>
        <w:t xml:space="preserve"> </w:t>
      </w:r>
      <w:r w:rsidR="000713D7">
        <w:t>очакваме</w:t>
      </w:r>
      <w:r w:rsidR="00BC400C">
        <w:t xml:space="preserve"> </w:t>
      </w:r>
      <w:r w:rsidR="00B41D8C">
        <w:t xml:space="preserve">да </w:t>
      </w:r>
      <w:r w:rsidR="001A7C1E">
        <w:t xml:space="preserve">завърши </w:t>
      </w:r>
      <w:r>
        <w:t>до 30 юни 2023 г</w:t>
      </w:r>
      <w:r w:rsidR="00B41D8C">
        <w:t xml:space="preserve">. </w:t>
      </w:r>
      <w:r w:rsidR="000713D7">
        <w:t xml:space="preserve">Считано от юли 2023 г. </w:t>
      </w:r>
      <w:r w:rsidR="00B41D8C">
        <w:t xml:space="preserve">ще стартират </w:t>
      </w:r>
      <w:r>
        <w:t>т</w:t>
      </w:r>
      <w:r w:rsidR="00900E32">
        <w:t xml:space="preserve">естове по предварително обявен график, който ще бъде публикуван </w:t>
      </w:r>
      <w:r>
        <w:t>на сайта на ЕСО</w:t>
      </w:r>
      <w:r w:rsidR="00C37757">
        <w:t xml:space="preserve"> ЕАД</w:t>
      </w:r>
      <w:r>
        <w:t>.</w:t>
      </w:r>
    </w:p>
    <w:p w14:paraId="47DB7D2B" w14:textId="40D55AC6" w:rsidR="00FD484E" w:rsidRDefault="00FB7BFB" w:rsidP="00FD484E">
      <w:pPr>
        <w:jc w:val="both"/>
      </w:pPr>
      <w:r>
        <w:t xml:space="preserve">Предвидено е тестовете да </w:t>
      </w:r>
      <w:r w:rsidR="00B41D8C">
        <w:t xml:space="preserve">се проведат </w:t>
      </w:r>
      <w:r>
        <w:t xml:space="preserve">в рамките на </w:t>
      </w:r>
      <w:r w:rsidR="009C4956">
        <w:t xml:space="preserve">два </w:t>
      </w:r>
      <w:r>
        <w:t xml:space="preserve">месеца и да приключат </w:t>
      </w:r>
      <w:r w:rsidR="001A7C1E">
        <w:t xml:space="preserve">успешно </w:t>
      </w:r>
      <w:r w:rsidR="00C37757">
        <w:t>до</w:t>
      </w:r>
      <w:r>
        <w:t xml:space="preserve"> 31 август 2023 г</w:t>
      </w:r>
      <w:r w:rsidR="00E07F40">
        <w:t xml:space="preserve">. </w:t>
      </w:r>
      <w:r w:rsidR="001A7C1E">
        <w:t xml:space="preserve">за всички участници. </w:t>
      </w:r>
      <w:r w:rsidR="00E07F40">
        <w:t xml:space="preserve">При успешно преминал тестови </w:t>
      </w:r>
      <w:r w:rsidR="00B41D8C">
        <w:t>период</w:t>
      </w:r>
      <w:r w:rsidR="00E07F40">
        <w:t>, ЕСО</w:t>
      </w:r>
      <w:r w:rsidR="00C37757">
        <w:t xml:space="preserve"> ЕАД</w:t>
      </w:r>
      <w:r w:rsidR="00E07F40">
        <w:t xml:space="preserve"> ще обяви дата на продуктивния старт на Етап 2.</w:t>
      </w:r>
    </w:p>
    <w:p w14:paraId="4A5DAE3E" w14:textId="77777777" w:rsidR="00A52B84" w:rsidRPr="00FD484E" w:rsidRDefault="00A52B84" w:rsidP="00FD484E">
      <w:pPr>
        <w:jc w:val="both"/>
      </w:pPr>
    </w:p>
    <w:sectPr w:rsidR="00A52B84" w:rsidRPr="00FD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5CEE" w14:textId="77777777" w:rsidR="00D3429A" w:rsidRDefault="00D3429A" w:rsidP="00693A5F">
      <w:pPr>
        <w:spacing w:after="0" w:line="240" w:lineRule="auto"/>
      </w:pPr>
      <w:r>
        <w:separator/>
      </w:r>
    </w:p>
  </w:endnote>
  <w:endnote w:type="continuationSeparator" w:id="0">
    <w:p w14:paraId="26D1093F" w14:textId="77777777" w:rsidR="00D3429A" w:rsidRDefault="00D3429A" w:rsidP="0069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16BA3" w14:textId="77777777" w:rsidR="00D3429A" w:rsidRDefault="00D3429A" w:rsidP="00693A5F">
      <w:pPr>
        <w:spacing w:after="0" w:line="240" w:lineRule="auto"/>
      </w:pPr>
      <w:r>
        <w:separator/>
      </w:r>
    </w:p>
  </w:footnote>
  <w:footnote w:type="continuationSeparator" w:id="0">
    <w:p w14:paraId="1BEDEC9B" w14:textId="77777777" w:rsidR="00D3429A" w:rsidRDefault="00D3429A" w:rsidP="0069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4E"/>
    <w:rsid w:val="00032805"/>
    <w:rsid w:val="00050E5F"/>
    <w:rsid w:val="00052F9D"/>
    <w:rsid w:val="00053430"/>
    <w:rsid w:val="000713D7"/>
    <w:rsid w:val="00081D86"/>
    <w:rsid w:val="00083F45"/>
    <w:rsid w:val="00090D05"/>
    <w:rsid w:val="000964C1"/>
    <w:rsid w:val="000A43C2"/>
    <w:rsid w:val="000B2B4E"/>
    <w:rsid w:val="000B42AA"/>
    <w:rsid w:val="000F1CE3"/>
    <w:rsid w:val="001A73A9"/>
    <w:rsid w:val="001A7C1E"/>
    <w:rsid w:val="001B0960"/>
    <w:rsid w:val="001C70EE"/>
    <w:rsid w:val="001D2B05"/>
    <w:rsid w:val="001E3CF6"/>
    <w:rsid w:val="001E5260"/>
    <w:rsid w:val="00200412"/>
    <w:rsid w:val="0020158C"/>
    <w:rsid w:val="002233C8"/>
    <w:rsid w:val="00232779"/>
    <w:rsid w:val="002341F8"/>
    <w:rsid w:val="00240BAF"/>
    <w:rsid w:val="00255E1A"/>
    <w:rsid w:val="00271292"/>
    <w:rsid w:val="0028264A"/>
    <w:rsid w:val="002A04B2"/>
    <w:rsid w:val="002D4AF8"/>
    <w:rsid w:val="0033514E"/>
    <w:rsid w:val="00390B8E"/>
    <w:rsid w:val="003C7E7F"/>
    <w:rsid w:val="003E04EE"/>
    <w:rsid w:val="003E6925"/>
    <w:rsid w:val="00421B5E"/>
    <w:rsid w:val="00452738"/>
    <w:rsid w:val="00467AD1"/>
    <w:rsid w:val="00492809"/>
    <w:rsid w:val="004A03AF"/>
    <w:rsid w:val="004C7517"/>
    <w:rsid w:val="00506FF3"/>
    <w:rsid w:val="00510942"/>
    <w:rsid w:val="00562D38"/>
    <w:rsid w:val="00565DEA"/>
    <w:rsid w:val="00565F57"/>
    <w:rsid w:val="00570D79"/>
    <w:rsid w:val="00573D8A"/>
    <w:rsid w:val="00580B37"/>
    <w:rsid w:val="00594D89"/>
    <w:rsid w:val="00596D99"/>
    <w:rsid w:val="005975B8"/>
    <w:rsid w:val="005A0798"/>
    <w:rsid w:val="005C11D5"/>
    <w:rsid w:val="005C635A"/>
    <w:rsid w:val="005E6F5F"/>
    <w:rsid w:val="005F6EC9"/>
    <w:rsid w:val="00604861"/>
    <w:rsid w:val="006369B4"/>
    <w:rsid w:val="006610E9"/>
    <w:rsid w:val="00661278"/>
    <w:rsid w:val="00693A5F"/>
    <w:rsid w:val="006C62CD"/>
    <w:rsid w:val="006C72CA"/>
    <w:rsid w:val="006D7643"/>
    <w:rsid w:val="006E0AD2"/>
    <w:rsid w:val="006F77B9"/>
    <w:rsid w:val="007326D8"/>
    <w:rsid w:val="0073335E"/>
    <w:rsid w:val="00742439"/>
    <w:rsid w:val="007764F5"/>
    <w:rsid w:val="00797EC9"/>
    <w:rsid w:val="007A7171"/>
    <w:rsid w:val="007D6EC4"/>
    <w:rsid w:val="007E0592"/>
    <w:rsid w:val="007E7A11"/>
    <w:rsid w:val="007F0351"/>
    <w:rsid w:val="00810E8E"/>
    <w:rsid w:val="00834370"/>
    <w:rsid w:val="00841552"/>
    <w:rsid w:val="008A3BD7"/>
    <w:rsid w:val="008A5566"/>
    <w:rsid w:val="008B0E78"/>
    <w:rsid w:val="008F0CA9"/>
    <w:rsid w:val="008F15CA"/>
    <w:rsid w:val="00900E32"/>
    <w:rsid w:val="0093227C"/>
    <w:rsid w:val="00932555"/>
    <w:rsid w:val="00960BC4"/>
    <w:rsid w:val="0096267A"/>
    <w:rsid w:val="0097348F"/>
    <w:rsid w:val="00986643"/>
    <w:rsid w:val="009C4956"/>
    <w:rsid w:val="009F102C"/>
    <w:rsid w:val="00A300C3"/>
    <w:rsid w:val="00A52B84"/>
    <w:rsid w:val="00A557C2"/>
    <w:rsid w:val="00A64A4E"/>
    <w:rsid w:val="00AA5EE4"/>
    <w:rsid w:val="00AB2B10"/>
    <w:rsid w:val="00AF45A2"/>
    <w:rsid w:val="00B20A21"/>
    <w:rsid w:val="00B36200"/>
    <w:rsid w:val="00B41D8C"/>
    <w:rsid w:val="00B63B8F"/>
    <w:rsid w:val="00B86E52"/>
    <w:rsid w:val="00BA203B"/>
    <w:rsid w:val="00BC400C"/>
    <w:rsid w:val="00BD0165"/>
    <w:rsid w:val="00C25073"/>
    <w:rsid w:val="00C37757"/>
    <w:rsid w:val="00C61DB3"/>
    <w:rsid w:val="00C7315F"/>
    <w:rsid w:val="00C750AE"/>
    <w:rsid w:val="00C77880"/>
    <w:rsid w:val="00C857D1"/>
    <w:rsid w:val="00CE349B"/>
    <w:rsid w:val="00D03340"/>
    <w:rsid w:val="00D03BE6"/>
    <w:rsid w:val="00D30635"/>
    <w:rsid w:val="00D3429A"/>
    <w:rsid w:val="00D52186"/>
    <w:rsid w:val="00D652E0"/>
    <w:rsid w:val="00D775CD"/>
    <w:rsid w:val="00D91B59"/>
    <w:rsid w:val="00DD0683"/>
    <w:rsid w:val="00DD310B"/>
    <w:rsid w:val="00DF6688"/>
    <w:rsid w:val="00E03AFD"/>
    <w:rsid w:val="00E07F40"/>
    <w:rsid w:val="00E355E2"/>
    <w:rsid w:val="00E57CB4"/>
    <w:rsid w:val="00E96500"/>
    <w:rsid w:val="00E965B6"/>
    <w:rsid w:val="00EC3C7B"/>
    <w:rsid w:val="00F659AB"/>
    <w:rsid w:val="00F91104"/>
    <w:rsid w:val="00FA34BA"/>
    <w:rsid w:val="00FA7E8B"/>
    <w:rsid w:val="00FB7BFB"/>
    <w:rsid w:val="00FD0E2E"/>
    <w:rsid w:val="00FD484E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8069A"/>
  <w15:chartTrackingRefBased/>
  <w15:docId w15:val="{9D8C6CC7-2E7E-4CA6-82E9-B77A6A61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2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B4E"/>
    <w:pPr>
      <w:spacing w:line="240" w:lineRule="auto"/>
    </w:pPr>
    <w:rPr>
      <w:rFonts w:ascii="Calibri" w:eastAsia="Calibri" w:hAnsi="Calibri" w:cs="Calibri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B4E"/>
    <w:rPr>
      <w:rFonts w:ascii="Calibri" w:eastAsia="Calibri" w:hAnsi="Calibri" w:cs="Calibri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5F"/>
  </w:style>
  <w:style w:type="paragraph" w:styleId="Footer">
    <w:name w:val="footer"/>
    <w:basedOn w:val="Normal"/>
    <w:link w:val="FooterChar"/>
    <w:uiPriority w:val="99"/>
    <w:unhideWhenUsed/>
    <w:rsid w:val="00693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0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03B"/>
    <w:rPr>
      <w:rFonts w:ascii="Calibri" w:eastAsia="Calibri" w:hAnsi="Calibri" w:cs="Calibri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Гергана Петрова Терзийска</dc:creator>
  <cp:keywords/>
  <dc:description/>
  <cp:lastModifiedBy>Мария Йосифова Добранова</cp:lastModifiedBy>
  <cp:revision>3</cp:revision>
  <cp:lastPrinted>2022-09-21T08:43:00Z</cp:lastPrinted>
  <dcterms:created xsi:type="dcterms:W3CDTF">2022-12-16T08:35:00Z</dcterms:created>
  <dcterms:modified xsi:type="dcterms:W3CDTF">2022-12-16T10:28:00Z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dff173-e876-4c1e-8b12-0634f6f95e5d_Enabled">
    <vt:lpwstr>true</vt:lpwstr>
  </property>
  <property fmtid="{D5CDD505-2E9C-101B-9397-08002B2CF9AE}" pid="3" name="MSIP_Label_88dff173-e876-4c1e-8b12-0634f6f95e5d_SetDate">
    <vt:lpwstr>2022-12-14T13:11:15Z</vt:lpwstr>
  </property>
  <property fmtid="{D5CDD505-2E9C-101B-9397-08002B2CF9AE}" pid="4" name="MSIP_Label_88dff173-e876-4c1e-8b12-0634f6f95e5d_Method">
    <vt:lpwstr>Privileged</vt:lpwstr>
  </property>
  <property fmtid="{D5CDD505-2E9C-101B-9397-08002B2CF9AE}" pid="5" name="MSIP_Label_88dff173-e876-4c1e-8b12-0634f6f95e5d_Name">
    <vt:lpwstr>Public</vt:lpwstr>
  </property>
  <property fmtid="{D5CDD505-2E9C-101B-9397-08002B2CF9AE}" pid="6" name="MSIP_Label_88dff173-e876-4c1e-8b12-0634f6f95e5d_SiteId">
    <vt:lpwstr>bf39df4e-2f5e-4b0c-897b-28b776233a70</vt:lpwstr>
  </property>
  <property fmtid="{D5CDD505-2E9C-101B-9397-08002B2CF9AE}" pid="7" name="MSIP_Label_88dff173-e876-4c1e-8b12-0634f6f95e5d_ActionId">
    <vt:lpwstr>951b426d-f903-4f00-86f7-c4ba865d4e02</vt:lpwstr>
  </property>
  <property fmtid="{D5CDD505-2E9C-101B-9397-08002B2CF9AE}" pid="8" name="MSIP_Label_88dff173-e876-4c1e-8b12-0634f6f95e5d_ContentBits">
    <vt:lpwstr>0</vt:lpwstr>
  </property>
</Properties>
</file>