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C664" w14:textId="77777777" w:rsidR="007C5DE6" w:rsidRDefault="00546A82">
      <w:pPr>
        <w:pStyle w:val="Title"/>
        <w:rPr>
          <w:rStyle w:val="TitleChar"/>
          <w:spacing w:val="40"/>
          <w:sz w:val="40"/>
          <w:szCs w:val="26"/>
        </w:rPr>
      </w:pPr>
      <w:bookmarkStart w:id="0" w:name="_Toc243469582"/>
      <w:r>
        <w:rPr>
          <w:spacing w:val="40"/>
        </w:rPr>
        <w:t>Договор за балансиране</w:t>
      </w:r>
    </w:p>
    <w:p w14:paraId="748A9C9A" w14:textId="77777777" w:rsidR="007C5DE6" w:rsidRDefault="00546A82">
      <w:pPr>
        <w:spacing w:before="360"/>
        <w:jc w:val="center"/>
      </w:pPr>
      <w:r>
        <w:t>с потребител/производител на електрическа енергия</w:t>
      </w:r>
    </w:p>
    <w:p w14:paraId="04A6BB95" w14:textId="77777777" w:rsidR="007C5DE6" w:rsidRDefault="00546A82">
      <w:pPr>
        <w:spacing w:before="360"/>
        <w:jc w:val="center"/>
      </w:pPr>
      <w:r>
        <w:t>№ ………… / ……………………</w:t>
      </w:r>
    </w:p>
    <w:p w14:paraId="0B76EB85" w14:textId="77777777" w:rsidR="007C5DE6" w:rsidRDefault="00546A82">
      <w:pPr>
        <w:spacing w:before="360"/>
        <w:rPr>
          <w:lang w:val="en-US"/>
        </w:rPr>
      </w:pPr>
      <w:r>
        <w:t>Днес, …………………… в гр. София, между:</w:t>
      </w:r>
    </w:p>
    <w:p w14:paraId="6C35FD1E" w14:textId="77777777" w:rsidR="007C5DE6" w:rsidRDefault="007C5DE6">
      <w:pPr>
        <w:spacing w:before="360"/>
        <w:rPr>
          <w:lang w:val="en-US"/>
        </w:rPr>
      </w:pPr>
    </w:p>
    <w:p w14:paraId="6E3C63C1" w14:textId="622ABCFC" w:rsidR="007C5DE6" w:rsidRDefault="00546A82">
      <w:pPr>
        <w:spacing w:before="240"/>
      </w:pPr>
      <w:r>
        <w:rPr>
          <w:b/>
        </w:rPr>
        <w:t>„ЕЛЕКТРОЕНЕРГИЕН СИСТЕМЕН ОПЕРАТОР“ ЕАД</w:t>
      </w:r>
      <w:r>
        <w:t>, регистрирано в Търговския регистър на Агенцията по вписванията, с ЕИК 175201304, със седалище и адрес на управление 1</w:t>
      </w:r>
      <w:r>
        <w:rPr>
          <w:lang w:val="en-US"/>
        </w:rPr>
        <w:t>618</w:t>
      </w:r>
      <w:r>
        <w:t xml:space="preserve">, гр. София, бул. „Цар Борис </w:t>
      </w:r>
      <w:r>
        <w:rPr>
          <w:lang w:val="en-US"/>
        </w:rPr>
        <w:t>III</w:t>
      </w:r>
      <w:r>
        <w:t>“ №</w:t>
      </w:r>
      <w:r>
        <w:rPr>
          <w:lang w:val="en-US"/>
        </w:rPr>
        <w:t>201</w:t>
      </w:r>
      <w:r>
        <w:t xml:space="preserve">, Столична община - район „Витоша“, представлявано от </w:t>
      </w:r>
      <w:r w:rsidR="005D16B9">
        <w:t>Кирил Георгиев</w:t>
      </w:r>
      <w:r>
        <w:t xml:space="preserve"> – изпълнителен директор, наричано по-долу НЕЗАВИСИМ ПРЕНОСЕН ОПЕРАТОР (НПО) от една страна,</w:t>
      </w:r>
    </w:p>
    <w:p w14:paraId="1DCBC6B2" w14:textId="77777777" w:rsidR="007C5DE6" w:rsidRDefault="007C5DE6">
      <w:pPr>
        <w:spacing w:before="240"/>
      </w:pPr>
    </w:p>
    <w:p w14:paraId="2D925D94" w14:textId="77777777" w:rsidR="007C5DE6" w:rsidRDefault="00546A82">
      <w:r>
        <w:t>и</w:t>
      </w:r>
    </w:p>
    <w:p w14:paraId="631CB21B" w14:textId="77777777" w:rsidR="007C5DE6" w:rsidRDefault="007C5DE6">
      <w:pPr>
        <w:rPr>
          <w:lang w:val="en-US"/>
        </w:rPr>
      </w:pPr>
    </w:p>
    <w:p w14:paraId="5EE9B09D" w14:textId="77777777" w:rsidR="007C5DE6" w:rsidRDefault="00546A82">
      <w:r>
        <w:t>……………….…………………………………………………………………...………, регистрирано на пазара на балансираща енергия като:</w:t>
      </w:r>
    </w:p>
    <w:p w14:paraId="46296C13" w14:textId="77777777" w:rsidR="007C5DE6" w:rsidRDefault="00546A82">
      <w:pPr>
        <w:rPr>
          <w:b/>
        </w:rPr>
      </w:pPr>
      <w:r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rPr>
          <w:b/>
        </w:rPr>
        <w:t>ПОТРЕБИТЕЛ;</w:t>
      </w:r>
      <w:proofErr w:type="gramEnd"/>
    </w:p>
    <w:p w14:paraId="3E23E41A" w14:textId="77777777" w:rsidR="007C5DE6" w:rsidRDefault="00546A82">
      <w:pPr>
        <w:rPr>
          <w:b/>
        </w:rPr>
      </w:pPr>
      <w:r>
        <w:rPr>
          <w:rFonts w:ascii="MS Gothic" w:eastAsia="MS Gothic" w:hAnsi="MS Gothic" w:hint="eastAsia"/>
          <w:b/>
        </w:rPr>
        <w:t>☐</w:t>
      </w:r>
      <w:r>
        <w:rPr>
          <w:b/>
        </w:rPr>
        <w:t xml:space="preserve"> </w:t>
      </w:r>
      <w:proofErr w:type="gramStart"/>
      <w:r>
        <w:rPr>
          <w:b/>
        </w:rPr>
        <w:t>ПРОИЗВОДИТЕЛ;</w:t>
      </w:r>
      <w:proofErr w:type="gramEnd"/>
    </w:p>
    <w:p w14:paraId="01F29310" w14:textId="77777777" w:rsidR="007C5DE6" w:rsidRDefault="00546A82">
      <w:pPr>
        <w:rPr>
          <w:lang w:val="en-US"/>
        </w:rPr>
      </w:pPr>
      <w:r w:rsidRPr="001F59FC">
        <w:t>Идентификационен номер (</w:t>
      </w:r>
      <w:r w:rsidRPr="001F59FC">
        <w:rPr>
          <w:lang w:val="en-US"/>
        </w:rPr>
        <w:t xml:space="preserve">EIC </w:t>
      </w:r>
      <w:r w:rsidRPr="001F59FC">
        <w:t>код) на търговски</w:t>
      </w:r>
      <w:r>
        <w:t xml:space="preserve"> участник ………….………………..…</w:t>
      </w:r>
      <w:r>
        <w:rPr>
          <w:lang w:val="en-US"/>
        </w:rPr>
        <w:t>..</w:t>
      </w:r>
      <w:r>
        <w:t xml:space="preserve">, </w:t>
      </w:r>
    </w:p>
    <w:p w14:paraId="52008994" w14:textId="77777777" w:rsidR="007C5DE6" w:rsidRDefault="00546A82">
      <w:pPr>
        <w:rPr>
          <w:lang w:val="en-US"/>
        </w:rPr>
      </w:pPr>
      <w:r>
        <w:t xml:space="preserve">съгласно известието за приемане на заявлението за регистрация с адрес на управление </w:t>
      </w:r>
    </w:p>
    <w:p w14:paraId="79AAD884" w14:textId="77777777" w:rsidR="007C5DE6" w:rsidRDefault="00546A82">
      <w:pPr>
        <w:rPr>
          <w:lang w:val="en-US"/>
        </w:rPr>
      </w:pPr>
      <w:r>
        <w:t>……………….………………</w:t>
      </w:r>
      <w:r>
        <w:rPr>
          <w:lang w:val="en-US"/>
        </w:rPr>
        <w:t>…</w:t>
      </w:r>
      <w:r>
        <w:t xml:space="preserve">.…………………………………………………………….……………, </w:t>
      </w:r>
    </w:p>
    <w:p w14:paraId="2A414A6C" w14:textId="77777777" w:rsidR="007C5DE6" w:rsidRDefault="00546A82">
      <w:pPr>
        <w:rPr>
          <w:lang w:val="en-US"/>
        </w:rPr>
      </w:pPr>
      <w:r>
        <w:t xml:space="preserve">с ЕИК ……………………………..……………………… в Търговския регистър при Агенция по </w:t>
      </w:r>
    </w:p>
    <w:p w14:paraId="25D0DE7D" w14:textId="77777777" w:rsidR="007C5DE6" w:rsidRDefault="00546A82">
      <w:pPr>
        <w:rPr>
          <w:lang w:val="en-US"/>
        </w:rPr>
      </w:pPr>
      <w:r>
        <w:t>вписванията,</w:t>
      </w:r>
      <w:r>
        <w:rPr>
          <w:lang w:val="en-US"/>
        </w:rPr>
        <w:t xml:space="preserve"> </w:t>
      </w:r>
      <w:r>
        <w:t>представлявано</w:t>
      </w:r>
      <w:r>
        <w:rPr>
          <w:lang w:val="en-US"/>
        </w:rPr>
        <w:t xml:space="preserve"> </w:t>
      </w:r>
      <w:r>
        <w:t>от</w:t>
      </w:r>
      <w:r>
        <w:rPr>
          <w:lang w:val="en-US"/>
        </w:rPr>
        <w:t>……………………………………………………………………..</w:t>
      </w:r>
      <w:r>
        <w:t xml:space="preserve"> </w:t>
      </w:r>
    </w:p>
    <w:p w14:paraId="58F41F4D" w14:textId="77777777" w:rsidR="007C5DE6" w:rsidRDefault="00546A82">
      <w:pPr>
        <w:rPr>
          <w:lang w:val="en-US"/>
        </w:rPr>
      </w:pPr>
      <w:r>
        <w:rPr>
          <w:lang w:val="en-US"/>
        </w:rPr>
        <w:t>…………...……..…….</w:t>
      </w:r>
      <w:r>
        <w:t>………………………….…………………………………………………..…</w:t>
      </w:r>
      <w:r>
        <w:rPr>
          <w:lang w:val="en-US"/>
        </w:rPr>
        <w:t>..</w:t>
      </w:r>
      <w:r>
        <w:rPr>
          <w:lang w:val="ru-RU"/>
        </w:rPr>
        <w:t xml:space="preserve">- </w:t>
      </w:r>
    </w:p>
    <w:p w14:paraId="2861A82A" w14:textId="77777777" w:rsidR="007C5DE6" w:rsidRDefault="00546A82">
      <w:pPr>
        <w:rPr>
          <w:lang w:val="ru-RU"/>
        </w:rPr>
      </w:pPr>
      <w:r>
        <w:rPr>
          <w:lang w:val="ru-RU"/>
        </w:rPr>
        <w:t>...................</w:t>
      </w:r>
      <w:r>
        <w:t>………………………………………………………, наричано по-нататък търговски участник (ТУ), от друга страна</w:t>
      </w:r>
      <w:r>
        <w:rPr>
          <w:lang w:val="ru-RU"/>
        </w:rPr>
        <w:t>,</w:t>
      </w:r>
    </w:p>
    <w:p w14:paraId="457D08E8" w14:textId="77777777" w:rsidR="007C5DE6" w:rsidRDefault="007C5DE6"/>
    <w:p w14:paraId="68CB8837" w14:textId="77777777" w:rsidR="007C5DE6" w:rsidRDefault="00546A82">
      <w:r>
        <w:t>се сключи настоящият договор.</w:t>
      </w:r>
    </w:p>
    <w:p w14:paraId="6335A150" w14:textId="77777777" w:rsidR="007C5DE6" w:rsidRDefault="007C5DE6"/>
    <w:p w14:paraId="1B7A5328" w14:textId="77777777" w:rsidR="007C5DE6" w:rsidRDefault="007C5DE6"/>
    <w:p w14:paraId="3ED4D7E2" w14:textId="77777777" w:rsidR="007C5DE6" w:rsidRDefault="007C5DE6"/>
    <w:p w14:paraId="066AD558" w14:textId="77777777" w:rsidR="007C5DE6" w:rsidRDefault="007C5DE6"/>
    <w:p w14:paraId="4B873515" w14:textId="77777777" w:rsidR="007C5DE6" w:rsidRDefault="007C5DE6"/>
    <w:p w14:paraId="1D0C559A" w14:textId="77777777" w:rsidR="007C5DE6" w:rsidRDefault="00546A82">
      <w:pPr>
        <w:pStyle w:val="Heading2"/>
      </w:pPr>
      <w:r>
        <w:lastRenderedPageBreak/>
        <w:br/>
        <w:t>Предмет на договора и условия за влизането му в сила</w:t>
      </w:r>
    </w:p>
    <w:p w14:paraId="7D3CA8CB" w14:textId="77777777" w:rsidR="007C5DE6" w:rsidRDefault="00546A82">
      <w:pPr>
        <w:pStyle w:val="Heading3"/>
      </w:pPr>
      <w:r>
        <w:t xml:space="preserve">Този договор се сключва на основание Правила за търговия с електрическа енергия </w:t>
      </w:r>
      <w:r>
        <w:rPr>
          <w:b/>
        </w:rPr>
        <w:t>(„ПТЕЕ“)</w:t>
      </w:r>
      <w:r>
        <w:rPr>
          <w:lang w:val="en-US"/>
        </w:rPr>
        <w:t xml:space="preserve"> </w:t>
      </w:r>
      <w:r>
        <w:t>с всички техни последващи изменения и допълнения</w:t>
      </w:r>
      <w:r>
        <w:rPr>
          <w:lang w:val="ru-RU"/>
        </w:rPr>
        <w:t>.</w:t>
      </w:r>
    </w:p>
    <w:p w14:paraId="1B246843" w14:textId="77777777" w:rsidR="007C5DE6" w:rsidRDefault="00546A82">
      <w:pPr>
        <w:pStyle w:val="Heading3"/>
      </w:pPr>
      <w:r>
        <w:t>Предмет на настоящия Договор са сделките за компенсиране на отклоненията между измерените количества произведена и/или потребена електрическа енергия от обектите на ТУ, който отговаря самостоятелно за своите небаланси, и валидираните от НПО агрегирани графици за продажба и/или покупка на електрическа енергия за всеки период на сетълмент</w:t>
      </w:r>
      <w:r>
        <w:rPr>
          <w:lang w:val="ru-RU"/>
        </w:rPr>
        <w:t>.</w:t>
      </w:r>
    </w:p>
    <w:p w14:paraId="5EC09733" w14:textId="77777777" w:rsidR="007C5DE6" w:rsidRDefault="00546A82">
      <w:pPr>
        <w:pStyle w:val="Heading3"/>
      </w:pPr>
      <w:r>
        <w:t>Определянето на количествата енергиен недостиг и енергиен излишък се извършва в съответствие с ПТЕЕ.</w:t>
      </w:r>
    </w:p>
    <w:p w14:paraId="1D755699" w14:textId="77777777" w:rsidR="007C5DE6" w:rsidRDefault="00546A82">
      <w:pPr>
        <w:pStyle w:val="Heading3"/>
      </w:pPr>
      <w:r>
        <w:t>Определянето на цените за енергиен недостиг и енергиен излишък се извършва в съответствие с ПТЕЕ.</w:t>
      </w:r>
    </w:p>
    <w:p w14:paraId="3987E19B" w14:textId="77777777" w:rsidR="007C5DE6" w:rsidRDefault="00546A82">
      <w:pPr>
        <w:pStyle w:val="Heading3"/>
      </w:pPr>
      <w:r>
        <w:t>Договорът за балансиране влиза в сила след подписване от двете страни и след кумулативното изпълнение на следните условия:</w:t>
      </w:r>
    </w:p>
    <w:p w14:paraId="2CE6CFBA" w14:textId="77777777" w:rsidR="007C5DE6" w:rsidRDefault="00546A82">
      <w:pPr>
        <w:pStyle w:val="Heading4"/>
        <w:numPr>
          <w:ilvl w:val="3"/>
          <w:numId w:val="10"/>
        </w:numPr>
        <w:rPr>
          <w:rFonts w:cs="Arial"/>
          <w:b/>
          <w:i/>
        </w:rPr>
      </w:pPr>
      <w:r>
        <w:rPr>
          <w:rFonts w:cs="Arial"/>
        </w:rPr>
        <w:t>ТУ да е предоставил гаранционно</w:t>
      </w:r>
      <w:r>
        <w:rPr>
          <w:rFonts w:cs="Arial"/>
          <w:lang w:val="en-US"/>
        </w:rPr>
        <w:t xml:space="preserve"> </w:t>
      </w:r>
      <w:r>
        <w:rPr>
          <w:rFonts w:cs="Arial"/>
        </w:rPr>
        <w:t>обезпечение съгласно</w:t>
      </w:r>
      <w:r>
        <w:rPr>
          <w:rFonts w:cs="Arial"/>
          <w:lang w:val="en-US"/>
        </w:rPr>
        <w:t xml:space="preserve"> </w:t>
      </w:r>
      <w:r>
        <w:rPr>
          <w:rFonts w:cs="Arial"/>
        </w:rPr>
        <w:t>Инструкция по чл.184, ал.1 от ПТЕЕ.</w:t>
      </w:r>
    </w:p>
    <w:p w14:paraId="2DBBD2EF" w14:textId="77777777" w:rsidR="007C5DE6" w:rsidRDefault="00546A82">
      <w:pPr>
        <w:pStyle w:val="Heading4"/>
        <w:rPr>
          <w:rFonts w:cs="Arial"/>
        </w:rPr>
      </w:pPr>
      <w:r>
        <w:rPr>
          <w:rFonts w:cs="Arial"/>
        </w:rPr>
        <w:t>ТУ да е вписан в съответния регистър на търговските участници със статус „активен”, поддържан на сайта от НПО.</w:t>
      </w:r>
    </w:p>
    <w:p w14:paraId="1997F5CA" w14:textId="77777777" w:rsidR="007C5DE6" w:rsidRDefault="00546A82">
      <w:r>
        <w:t>1.6. Договорът е със срок на действие до края на календарната година, през която е сключен.</w:t>
      </w:r>
    </w:p>
    <w:p w14:paraId="75BD0D7D" w14:textId="77777777" w:rsidR="007C5DE6" w:rsidRDefault="00546A82">
      <w:pPr>
        <w:rPr>
          <w:lang w:val="en-US"/>
        </w:rPr>
      </w:pPr>
      <w:r>
        <w:t>1.7. Договорът автоматично се продължава и за всяка следваща календарна година, в случай, че никоя от страните не е поискала писмено неговото прекратяване до 30-ти ноември на съответната календарна година.</w:t>
      </w:r>
    </w:p>
    <w:p w14:paraId="70BB5CB5" w14:textId="77777777" w:rsidR="007C5DE6" w:rsidRDefault="00546A82">
      <w:pPr>
        <w:pStyle w:val="Heading2"/>
      </w:pPr>
      <w:r>
        <w:br/>
        <w:t>Права и задължения на НПО</w:t>
      </w:r>
    </w:p>
    <w:p w14:paraId="5EE085F6" w14:textId="77777777" w:rsidR="007C5DE6" w:rsidRDefault="00546A82">
      <w:pPr>
        <w:pStyle w:val="Heading3"/>
      </w:pPr>
      <w:r>
        <w:t>НПО извършва необходимите действия за регистриране на търговските участници съгласно изискванията на ПТЕЕ.</w:t>
      </w:r>
    </w:p>
    <w:p w14:paraId="66801218" w14:textId="77777777" w:rsidR="007C5DE6" w:rsidRDefault="00546A82">
      <w:pPr>
        <w:pStyle w:val="Heading3"/>
      </w:pPr>
      <w:r>
        <w:t>НПО сключва договори с доставчици на балансираща енергия, с цел покупка и продажба на балансираща енергия, за да покрива небалансите на координаторите на балансиращи групи и търговски участници, които отговарят самостоятелно за своите небаланси.</w:t>
      </w:r>
    </w:p>
    <w:p w14:paraId="5A4319DA" w14:textId="77777777" w:rsidR="007C5DE6" w:rsidRDefault="00546A82">
      <w:pPr>
        <w:pStyle w:val="Heading3"/>
      </w:pPr>
      <w:r>
        <w:t>НПО определя количествата електрическа енергия за регулиране на ЕЕС, които се предоставят/компенсират от доставчиците на балансираща енергия, както и общия енергиен недостиг и общия енергиен излишък. за всеки период на сетълмент, който е един час.</w:t>
      </w:r>
    </w:p>
    <w:p w14:paraId="5B43B90E" w14:textId="77777777" w:rsidR="007C5DE6" w:rsidRDefault="00546A82">
      <w:pPr>
        <w:pStyle w:val="Heading3"/>
      </w:pPr>
      <w:bookmarkStart w:id="1" w:name="_Ref309500230"/>
      <w:r>
        <w:t>НПО изготвя дневни извлечения за сетълмент на седмична база</w:t>
      </w:r>
      <w:r>
        <w:rPr>
          <w:lang w:val="en-US"/>
        </w:rPr>
        <w:t>,</w:t>
      </w:r>
      <w:r>
        <w:t xml:space="preserve"> в срок от три работни дни след края на седмицата, за дните от понеделник до неделя включително за предходната календарна седмица, в случай че са постъпили данните от средствата за търговско измерване от всички мрежови оператори, за които ТУ се информира от системата за администриране на пазара, която е достъпна на сайта на НПО.</w:t>
      </w:r>
      <w:bookmarkEnd w:id="1"/>
      <w:r>
        <w:t xml:space="preserve"> Тези извлечения се изготвят само в случай, че са постъпили валидирани данни от средствата </w:t>
      </w:r>
      <w:r>
        <w:lastRenderedPageBreak/>
        <w:t>за търговско измерване, от всички оператори на електрически мрежи и собственици на измервателни уреди, отговорни за предоставяне на данни на НПО.</w:t>
      </w:r>
    </w:p>
    <w:p w14:paraId="501F2766" w14:textId="77777777" w:rsidR="007C5DE6" w:rsidRDefault="00546A82">
      <w:pPr>
        <w:pStyle w:val="Heading3"/>
      </w:pPr>
      <w:bookmarkStart w:id="2" w:name="_Ref309500238"/>
      <w:r>
        <w:t>НПО изготвя обобщено извлечение за сетълмент за съответния календарен месец в сроковете, съгласно ПТЕЕ, и го изпраща на ТУ по електронна поща.</w:t>
      </w:r>
      <w:bookmarkEnd w:id="2"/>
    </w:p>
    <w:p w14:paraId="563761AC" w14:textId="77777777" w:rsidR="007C5DE6" w:rsidRDefault="00546A82">
      <w:pPr>
        <w:pStyle w:val="Heading3"/>
      </w:pPr>
      <w:r>
        <w:t>НПО за всеки отчетен период издава и изпраща фактури на ТУ, който е отговорен за финансовия сетълмент, за реализирания енергиен недостиг</w:t>
      </w:r>
      <w:r>
        <w:rPr>
          <w:lang w:val="ru-RU"/>
        </w:rPr>
        <w:t xml:space="preserve"> </w:t>
      </w:r>
      <w:r>
        <w:t>и продадена балансираща енергия.</w:t>
      </w:r>
    </w:p>
    <w:p w14:paraId="25AAF9B9" w14:textId="77777777" w:rsidR="007C5DE6" w:rsidRDefault="00546A82">
      <w:pPr>
        <w:pStyle w:val="Heading3"/>
      </w:pPr>
      <w:r>
        <w:t>Отчетният период е един и обхваща сделките с балансираща енергия от първо до последно число на календарния месец.</w:t>
      </w:r>
    </w:p>
    <w:p w14:paraId="2B3AF9D0" w14:textId="77777777" w:rsidR="007C5DE6" w:rsidRDefault="00546A82">
      <w:pPr>
        <w:pStyle w:val="Heading3"/>
      </w:pPr>
      <w:r>
        <w:t xml:space="preserve">При забавено </w:t>
      </w:r>
      <w:r>
        <w:rPr>
          <w:iCs/>
        </w:rPr>
        <w:t>изпълнение на задълженията за плащане по този договор</w:t>
      </w:r>
      <w:r>
        <w:t>, НПО усвоява предоставеното му обезпечение до размера на главницата, неустойката за забава и такси и разноски по усвояването, за което информира последващо ТУ с писмо по факс или по електронна поща.</w:t>
      </w:r>
    </w:p>
    <w:p w14:paraId="108E5E9B" w14:textId="77777777" w:rsidR="007C5DE6" w:rsidRDefault="00546A82">
      <w:pPr>
        <w:pStyle w:val="Heading3"/>
        <w:rPr>
          <w:lang w:eastAsia="en-US"/>
        </w:rPr>
      </w:pPr>
      <w:r>
        <w:t>НПО няма задължение да оттегли отправено искане за усвояване на банкова гаранция, ако преди неговото удовлетворяване получи плащане от ТУ. При оттегляне</w:t>
      </w:r>
      <w:r>
        <w:rPr>
          <w:lang w:val="en-US"/>
        </w:rPr>
        <w:t>,</w:t>
      </w:r>
      <w:r>
        <w:t xml:space="preserve"> всички такси и разноски във връзка с искането за усвояване на банковата гаранция и възстановяване на платената сума</w:t>
      </w:r>
      <w:r>
        <w:rPr>
          <w:lang w:val="en-US"/>
        </w:rPr>
        <w:t>,</w:t>
      </w:r>
      <w:r>
        <w:t xml:space="preserve"> са за сметка на ТУ.</w:t>
      </w:r>
      <w:bookmarkStart w:id="3" w:name="_Ref309500111"/>
    </w:p>
    <w:p w14:paraId="40D02312" w14:textId="77777777" w:rsidR="007C5DE6" w:rsidRDefault="00546A82">
      <w:pPr>
        <w:pStyle w:val="Heading3"/>
      </w:pPr>
      <w:r>
        <w:t>ТУ е длъжен да предостави ново гаранционно обезпечение под формата на банкова гаранция и/или депозит в полза на НПО в срок от 2 (два) работни дни от  уведомлението за искане за инкасиране на гаранцията.</w:t>
      </w:r>
    </w:p>
    <w:bookmarkEnd w:id="3"/>
    <w:p w14:paraId="0BDE3D50" w14:textId="77777777" w:rsidR="007C5DE6" w:rsidRDefault="00546A82">
      <w:pPr>
        <w:pStyle w:val="Heading3"/>
      </w:pPr>
      <w:r>
        <w:t xml:space="preserve">В случай че плащането за реализираните небаланси не е осъществено в срок и/или не е възстановена изискуемата сума по гаранционното обезпечение по т.2.10, НПО има право да предприеме действия по отстраняване на ТУ от пазара на </w:t>
      </w:r>
      <w:r w:rsidR="00214284">
        <w:t>е</w:t>
      </w:r>
      <w:r>
        <w:t>лектрическа енергия, съгласно процедурата в ПТЕЕ.</w:t>
      </w:r>
    </w:p>
    <w:p w14:paraId="67E2DC62" w14:textId="77777777" w:rsidR="007C5DE6" w:rsidRDefault="00546A82">
      <w:pPr>
        <w:pStyle w:val="Heading3"/>
      </w:pPr>
      <w:r>
        <w:t>НПО има право да прекрати и/или ограничи графици за обмен на ТУ, което се прилага спрямо всички участници в пазара, при настъпване на следните обстоятелства:</w:t>
      </w:r>
    </w:p>
    <w:p w14:paraId="052D8FE5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  <w:iCs w:val="0"/>
        </w:rPr>
      </w:pPr>
      <w:r>
        <w:rPr>
          <w:rFonts w:cs="Arial"/>
          <w:iCs w:val="0"/>
        </w:rPr>
        <w:t>Отпадане на системата за администриране на пазара.</w:t>
      </w:r>
    </w:p>
    <w:p w14:paraId="3FF5F412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  <w:iCs w:val="0"/>
        </w:rPr>
      </w:pPr>
      <w:r>
        <w:rPr>
          <w:rFonts w:cs="Arial"/>
          <w:iCs w:val="0"/>
        </w:rPr>
        <w:t>При възникване или за предотвратяване на аварии по съоръжения за производство, потребление и пренос на електрическа енергия.</w:t>
      </w:r>
    </w:p>
    <w:p w14:paraId="59A13300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  <w:iCs w:val="0"/>
        </w:rPr>
      </w:pPr>
      <w:r>
        <w:rPr>
          <w:rFonts w:cs="Arial"/>
          <w:iCs w:val="0"/>
        </w:rPr>
        <w:t>При претоварване на електрическите мрежи.</w:t>
      </w:r>
    </w:p>
    <w:p w14:paraId="182E6663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  <w:iCs w:val="0"/>
        </w:rPr>
      </w:pPr>
      <w:r>
        <w:rPr>
          <w:rFonts w:cs="Arial"/>
          <w:iCs w:val="0"/>
        </w:rPr>
        <w:t>При енергийно необезпечен график за производство.</w:t>
      </w:r>
    </w:p>
    <w:p w14:paraId="471AA035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  <w:iCs w:val="0"/>
        </w:rPr>
      </w:pPr>
      <w:r>
        <w:rPr>
          <w:rFonts w:cs="Arial"/>
          <w:iCs w:val="0"/>
        </w:rPr>
        <w:t>Разпоредителни мерки на компетентни органи.</w:t>
      </w:r>
    </w:p>
    <w:p w14:paraId="6380EC97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  <w:iCs w:val="0"/>
        </w:rPr>
      </w:pPr>
      <w:r>
        <w:rPr>
          <w:rFonts w:cs="Arial"/>
          <w:iCs w:val="0"/>
        </w:rPr>
        <w:t>При невъзможност за поддържане баланса на ЕЕС, и след като всички други мерки, съгласно изискванията на ENTSO-E са били предприети.</w:t>
      </w:r>
    </w:p>
    <w:p w14:paraId="640146CD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  <w:iCs w:val="0"/>
        </w:rPr>
      </w:pPr>
      <w:r>
        <w:rPr>
          <w:rFonts w:cs="Arial"/>
          <w:iCs w:val="0"/>
        </w:rPr>
        <w:t>В случаите на чл.73 от Закона за енергетиката и при други хипотези на непреодолима сила.</w:t>
      </w:r>
    </w:p>
    <w:p w14:paraId="20062088" w14:textId="77777777" w:rsidR="007C5DE6" w:rsidRDefault="00546A82">
      <w:pPr>
        <w:pStyle w:val="Heading3"/>
      </w:pPr>
      <w:r>
        <w:t>В случаите на т.2.12 НПО се съобразява със сроковете за известяване, ако такива са регламентирани в нормативната уредба. Взаимоотношенията, свързани с производството и консумацията на електрическа енергия в ЕЕС за периода на прекратяване на пазара, се уреждат съгласно ПТЕЕ.</w:t>
      </w:r>
    </w:p>
    <w:p w14:paraId="261AD720" w14:textId="77777777" w:rsidR="007C5DE6" w:rsidRDefault="00546A82">
      <w:pPr>
        <w:pStyle w:val="Heading3"/>
      </w:pPr>
      <w:r>
        <w:t xml:space="preserve">В случай на аварийна ситуация и/или непреодолима сила, които имат локален характер, търговските участници предприемат необходимите мерки за съгласуване на </w:t>
      </w:r>
      <w:r>
        <w:lastRenderedPageBreak/>
        <w:t>графици за покупка и продажба, които да отчитат променените обстоятелства за следващия незатворен период на доставка.</w:t>
      </w:r>
    </w:p>
    <w:p w14:paraId="6EBBB8AB" w14:textId="77777777" w:rsidR="007C5DE6" w:rsidRDefault="00546A82">
      <w:pPr>
        <w:pStyle w:val="Heading3"/>
      </w:pPr>
      <w:r>
        <w:t>НПО не прекратява и не променя графици на търговските участници в случаите на т.2.14 след регистрирането им.</w:t>
      </w:r>
    </w:p>
    <w:p w14:paraId="32A8745A" w14:textId="77777777" w:rsidR="007C5DE6" w:rsidRDefault="00546A82">
      <w:pPr>
        <w:pStyle w:val="Heading3"/>
      </w:pPr>
      <w:r>
        <w:t xml:space="preserve">При изчерпване на възможностите за регулиране с разполагаемите регулиращи мощности в ЕЕС и невъзможност за поддържане на баланса между производството и потреблението, НПО има право да наложи ограничение на производството на електрическа енергия, като мярка, предхождаща прекратяването на пазара по т.2.12. </w:t>
      </w:r>
    </w:p>
    <w:p w14:paraId="038480D5" w14:textId="77777777" w:rsidR="007C5DE6" w:rsidRDefault="00546A82">
      <w:pPr>
        <w:pStyle w:val="Heading3"/>
      </w:pPr>
      <w:r>
        <w:t>При налагане на ограничението по т.2.16 след крайния срок за регистриране на графиците за обмен в деня преди доставката, производителите са задължени да се съобразят с изискванията на НПО, независимо от прогнозните количества, предоставени от ТУ и регистрирания график за обмен от НПО в деня преди доставката и в рамките на деня на доставка.</w:t>
      </w:r>
    </w:p>
    <w:p w14:paraId="0D4F2095" w14:textId="77777777" w:rsidR="007C5DE6" w:rsidRDefault="00546A82">
      <w:pPr>
        <w:pStyle w:val="Heading3"/>
      </w:pPr>
      <w:r>
        <w:t>В случаите на т.2.17, НПО не санкционира и не начислява небаланс за периодите на наложено ограничение в производството, само за обектите с наложено ограничение, и в случай че имат търговски  график, регистриран от НПО и зададеното ограничение е под валидирания график.</w:t>
      </w:r>
    </w:p>
    <w:p w14:paraId="2FA1A642" w14:textId="77777777" w:rsidR="007C5DE6" w:rsidRDefault="00546A82">
      <w:pPr>
        <w:pStyle w:val="Heading3"/>
      </w:pPr>
      <w:r>
        <w:t>НПО не санкционира и не начислява небаланс и в случаите на смущения в работата на електропреносната мрежа, извън случаите на непреодолима сила,  настъпили не по вина на ползвателя на мрежата, за обекти с регистриран търговски график.</w:t>
      </w:r>
    </w:p>
    <w:p w14:paraId="6773F94E" w14:textId="77777777" w:rsidR="007C5DE6" w:rsidRDefault="00546A82">
      <w:pPr>
        <w:pStyle w:val="Heading3"/>
      </w:pPr>
      <w:r>
        <w:t>Всеки конкретен случай по т.2.19, и настъпилите обстоятелства, трябва да бъдат документирани със справка от НПО.</w:t>
      </w:r>
    </w:p>
    <w:p w14:paraId="6730228A" w14:textId="77777777" w:rsidR="007C5DE6" w:rsidRDefault="007C5DE6"/>
    <w:p w14:paraId="3CA9F5FA" w14:textId="77777777" w:rsidR="007C5DE6" w:rsidRDefault="00546A82">
      <w:pPr>
        <w:pStyle w:val="Heading2"/>
      </w:pPr>
      <w:r>
        <w:br/>
        <w:t>Права и задължения на ТУ</w:t>
      </w:r>
    </w:p>
    <w:p w14:paraId="5F4E5C99" w14:textId="77777777" w:rsidR="007C5DE6" w:rsidRDefault="00546A82">
      <w:pPr>
        <w:pStyle w:val="Heading3"/>
      </w:pPr>
      <w:r>
        <w:t>ТУ извършва необходимите действия за регистриране на пазара на балансираща енергия чрез изпращане на заявление за регистрация по образец, публикувано на сайта на НПО.</w:t>
      </w:r>
    </w:p>
    <w:p w14:paraId="5C433F2F" w14:textId="77777777" w:rsidR="007C5DE6" w:rsidRDefault="00546A82">
      <w:pPr>
        <w:pStyle w:val="Heading3"/>
      </w:pPr>
      <w:r>
        <w:t>ТУ, който е отговорен за финансовия сетълмент, на база извлеченията по т. 2.4 и т. 2.5, за всеки отчетен период издава и изпраща фактури на НПО за реализирания енергиен излишък и продадена или закупена балансираща енергия.</w:t>
      </w:r>
    </w:p>
    <w:p w14:paraId="1ADBD39B" w14:textId="77777777" w:rsidR="007C5DE6" w:rsidRDefault="00546A82">
      <w:pPr>
        <w:pStyle w:val="Heading3"/>
      </w:pPr>
      <w:r>
        <w:t>ТУ изпраща данните свързани с договорените количества по графиците за обмен,  съгласно сроковете, указани в „График за изпълнение на дейностите и обмен на информация в системите за администриране на пазара за пазарен сегмент ден напред и в рамките на деня “, и „Инструкции за известяване и валидиране на търговски и производствени графици за пазарен сегмент ден напред и в рамките на деня“ публикувани на сайта на НПО, с отчитане на прогнозното производство и/или потребление.</w:t>
      </w:r>
    </w:p>
    <w:p w14:paraId="7E519980" w14:textId="77777777" w:rsidR="007C5DE6" w:rsidRDefault="00546A82">
      <w:pPr>
        <w:pStyle w:val="Heading3"/>
      </w:pPr>
      <w:r>
        <w:t>ТУ изпълнява техническите изисквания по отношение на средствата за комуникация, посочени в Известието за приемане на заявлението за регистрация, относно поддържането, предаването и съхранението на данни във връзка с участието на пазара на балансираща енергия.</w:t>
      </w:r>
    </w:p>
    <w:p w14:paraId="1B7ACC8C" w14:textId="77777777" w:rsidR="007C5DE6" w:rsidRDefault="00546A82">
      <w:pPr>
        <w:pStyle w:val="Heading3"/>
      </w:pPr>
      <w:r>
        <w:lastRenderedPageBreak/>
        <w:t>ТУ урежда в срок финансовите си задължения и същевременно поддържа в необходимия размер гаранционно обезпечение, определено от НПО, съгласно Инструкция по чл.184, ал.1 от ПТЕЕ.</w:t>
      </w:r>
      <w:bookmarkStart w:id="4" w:name="_Ref309502486"/>
    </w:p>
    <w:p w14:paraId="5105D2E0" w14:textId="77777777" w:rsidR="007C5DE6" w:rsidRDefault="00546A82">
      <w:pPr>
        <w:pStyle w:val="Heading3"/>
      </w:pPr>
      <w:r>
        <w:t>ТУ се задължава да известява графици само в рамките на работния диапазон на производствените си мощности и съгласно очакваното нетно производство за следващия ден.</w:t>
      </w:r>
      <w:bookmarkEnd w:id="4"/>
    </w:p>
    <w:p w14:paraId="6777C82B" w14:textId="77777777" w:rsidR="007C5DE6" w:rsidRDefault="00546A82">
      <w:pPr>
        <w:pStyle w:val="Heading2"/>
      </w:pPr>
      <w:r>
        <w:br/>
        <w:t>Задължения на страните по отношение на измерването, отчитането на електрическата енергия и валидирането на данните</w:t>
      </w:r>
    </w:p>
    <w:p w14:paraId="79470FEE" w14:textId="77777777" w:rsidR="007C5DE6" w:rsidRDefault="00546A82">
      <w:pPr>
        <w:pStyle w:val="Heading3"/>
      </w:pPr>
      <w:r>
        <w:t xml:space="preserve">Обектите, типовете електромери за търговско измерване на количеството електрическа енергия, фабричните номера и идентификационни кодове, както и техническа информация за токовите и </w:t>
      </w:r>
      <w:proofErr w:type="spellStart"/>
      <w:r>
        <w:t>напреженови</w:t>
      </w:r>
      <w:proofErr w:type="spellEnd"/>
      <w:r>
        <w:t xml:space="preserve"> трансформатори, монтирани в уредбите на ТУ, са посочени в приложенията към Заявлението за регистрация, които са неразделна част от този договор.</w:t>
      </w:r>
    </w:p>
    <w:p w14:paraId="363B1665" w14:textId="77777777" w:rsidR="007C5DE6" w:rsidRDefault="00546A82">
      <w:pPr>
        <w:pStyle w:val="Heading3"/>
      </w:pPr>
      <w:r>
        <w:t>НПО изготвя дневните извлечения за сетълмент на ТУ на база валидираните данни, получени от всички оператори на електрически мрежи и собственици на измервателни уреди.</w:t>
      </w:r>
    </w:p>
    <w:p w14:paraId="13D70121" w14:textId="77777777" w:rsidR="007C5DE6" w:rsidRDefault="00546A82">
      <w:pPr>
        <w:pStyle w:val="Heading3"/>
      </w:pPr>
      <w:r>
        <w:t xml:space="preserve">Във всички случаи на </w:t>
      </w:r>
      <w:proofErr w:type="spellStart"/>
      <w:r>
        <w:t>неизмерване</w:t>
      </w:r>
      <w:proofErr w:type="spellEnd"/>
      <w:r>
        <w:t>, неправилно и/или неточно измерване на електрическата енергия, НПО извършва повторен сетълмент за период, не по-дълъг от два месеца, предхождащ датата на установяване на промяната на данните, като се съобразява с процедурата за валидиране и замяна на данни, съгласно правилата по чл.</w:t>
      </w:r>
      <w:r>
        <w:rPr>
          <w:lang w:val="en-US"/>
        </w:rPr>
        <w:t>83</w:t>
      </w:r>
      <w:r>
        <w:t>,</w:t>
      </w:r>
      <w:r>
        <w:rPr>
          <w:lang w:val="en-US"/>
        </w:rPr>
        <w:t xml:space="preserve"> </w:t>
      </w:r>
      <w:r>
        <w:t>ал.1, т.6 от ЗЕ.</w:t>
      </w:r>
    </w:p>
    <w:p w14:paraId="3A52F9B3" w14:textId="77777777" w:rsidR="007C5DE6" w:rsidRDefault="00546A82">
      <w:pPr>
        <w:pStyle w:val="Heading3"/>
      </w:pPr>
      <w:r>
        <w:t xml:space="preserve">НПО извършва повторен сетълмент, в случаите по чл.182 от ПТЕЕ, само за обектите по чл.86, ал.1 от ПТЕЕ, за период, не по-дълъг от два месеца, предхождащ датата на установяване на промяната на данните за сетълмент. </w:t>
      </w:r>
    </w:p>
    <w:p w14:paraId="1C421009" w14:textId="77777777" w:rsidR="007C5DE6" w:rsidRDefault="00546A82">
      <w:pPr>
        <w:pStyle w:val="Heading3"/>
        <w:rPr>
          <w:lang w:val="en-US"/>
        </w:rPr>
      </w:pPr>
      <w:r>
        <w:t>Рекапитулацията по т.4.4 се извършва само по отношение на засегнатите обекти, като НПО не променя цените на балансиращата енергия.</w:t>
      </w:r>
    </w:p>
    <w:p w14:paraId="2D6DF21A" w14:textId="77777777" w:rsidR="007C5DE6" w:rsidRDefault="007C5DE6">
      <w:pPr>
        <w:rPr>
          <w:lang w:val="en-US" w:eastAsia="bg-BG"/>
        </w:rPr>
      </w:pPr>
    </w:p>
    <w:p w14:paraId="6DED9833" w14:textId="77777777" w:rsidR="007C5DE6" w:rsidRDefault="00546A82">
      <w:pPr>
        <w:pStyle w:val="Heading2"/>
      </w:pPr>
      <w:r>
        <w:br/>
        <w:t>Фактуриране и плащане на балансираща енергия. Неустойки. Обезпечения</w:t>
      </w:r>
    </w:p>
    <w:p w14:paraId="4EF4C4AD" w14:textId="77777777" w:rsidR="007C5DE6" w:rsidRDefault="00546A82">
      <w:pPr>
        <w:pStyle w:val="Heading3"/>
      </w:pPr>
      <w:r>
        <w:t>Фактурирането се извършва съгласно дневните и обобщени извлечения за сетълмент, с дата на данъчно събитие – последният ден на календарния месец, и се изпращат на ТУ/НПО по факс или по електронна поща</w:t>
      </w:r>
      <w:r>
        <w:rPr>
          <w:lang w:val="en-US"/>
        </w:rPr>
        <w:t>,</w:t>
      </w:r>
      <w:r>
        <w:t xml:space="preserve"> в деня на издаването им.</w:t>
      </w:r>
    </w:p>
    <w:p w14:paraId="1F2A0D45" w14:textId="77777777" w:rsidR="007C5DE6" w:rsidRDefault="00546A82">
      <w:pPr>
        <w:pStyle w:val="Heading3"/>
      </w:pPr>
      <w:r>
        <w:t>Фактурите се издават от НПО и ТУ за количеството балансираща енергия, което са продали или закупили за съответния отчетен период, отразено в обобщените извлечения за сетълмент. Оригиналът на фактурата се изпраща по пощата с обратна разписка или по куриерска поща, освен в случаите, когато ТУ се е съгласил да получава електронна фактура.</w:t>
      </w:r>
    </w:p>
    <w:p w14:paraId="2B4BE38A" w14:textId="77777777" w:rsidR="007C5DE6" w:rsidRDefault="00546A82">
      <w:pPr>
        <w:pStyle w:val="Heading3"/>
      </w:pPr>
      <w:r>
        <w:t xml:space="preserve">В случай на забава на парични задължения по договора, неизправната страна дължи на изправната страна неустойка за забава в размер на 0.05% върху стойността на просроченото плащане за периода на забава от деня, следващ падежа по фактурата, до деня на постъпване на дължимата сума по сметката на изправната страна, за всеки ден </w:t>
      </w:r>
      <w:r>
        <w:lastRenderedPageBreak/>
        <w:t>забава. Когато преведената сума не е достатъчна да покрие лихвите и главницата, първо се погасяват лихвите.</w:t>
      </w:r>
    </w:p>
    <w:p w14:paraId="1964E5F3" w14:textId="77777777" w:rsidR="007C5DE6" w:rsidRDefault="00546A82">
      <w:pPr>
        <w:pStyle w:val="Heading3"/>
      </w:pPr>
      <w:r>
        <w:t>Плащанията, съгласно издадени фактури се извършват чрез директен банков превод с платежно нареждане по банкови сметки на страните, посочени във фактурите.</w:t>
      </w:r>
    </w:p>
    <w:p w14:paraId="4ED65353" w14:textId="77777777" w:rsidR="007C5DE6" w:rsidRDefault="00546A82">
      <w:pPr>
        <w:pStyle w:val="Heading3"/>
      </w:pPr>
      <w:bookmarkStart w:id="5" w:name="_Ref309500851"/>
      <w:r>
        <w:t xml:space="preserve">Срокът за плащане на задълженията на НПО по издадена от ТУ фактура е до 20 /двадесето/ число на месеца, следващ отчетния, като </w:t>
      </w:r>
      <w:proofErr w:type="spellStart"/>
      <w:r>
        <w:t>неполучаването</w:t>
      </w:r>
      <w:proofErr w:type="spellEnd"/>
      <w:r>
        <w:t xml:space="preserve"> на фактурата в оригинал не освобождава НПО от задължението му да заплати сумите по нея в договорения срок.</w:t>
      </w:r>
      <w:bookmarkEnd w:id="5"/>
    </w:p>
    <w:p w14:paraId="0F476BE6" w14:textId="77777777" w:rsidR="007C5DE6" w:rsidRDefault="00546A82">
      <w:pPr>
        <w:pStyle w:val="Heading3"/>
      </w:pPr>
      <w:r>
        <w:t xml:space="preserve">Срокът за плащане на задълженията на ТУ по издадена от НПО фактура е до 15 /петнадесето/ число на месеца, следващ отчетния, като </w:t>
      </w:r>
      <w:proofErr w:type="spellStart"/>
      <w:r>
        <w:t>неполучаването</w:t>
      </w:r>
      <w:proofErr w:type="spellEnd"/>
      <w:r>
        <w:t xml:space="preserve"> на фактурата в оригинал не освобождава ТУ от задължението му да заплати сумите по нея в договорения срок.</w:t>
      </w:r>
    </w:p>
    <w:p w14:paraId="42031ABD" w14:textId="77777777" w:rsidR="007C5DE6" w:rsidRDefault="00546A82">
      <w:pPr>
        <w:pStyle w:val="Heading3"/>
      </w:pPr>
      <w:r>
        <w:t>Задължението за плащане се счита за изпълнено в срок, ако цялата дължима сума постъпи по банковата сметка на НПО, най-късно до 17:00 часа в деня на падежа, съгласно издадената фактура, а когато денят на падежа е неработен ден - до 17:00 часа на първия следващ работен ден.</w:t>
      </w:r>
    </w:p>
    <w:p w14:paraId="0C25A9BE" w14:textId="77777777" w:rsidR="007C5DE6" w:rsidRDefault="00546A82">
      <w:pPr>
        <w:pStyle w:val="Heading3"/>
      </w:pPr>
      <w:bookmarkStart w:id="6" w:name="_Ref309502462"/>
      <w:r>
        <w:t>ТУ предоставя в полза на НПО неотменяема и безусловна банкова гаранция, по образец, публикуван на сайта на НПО и/или паричен депозит по посочена от НПО банкова сметка.</w:t>
      </w:r>
      <w:bookmarkEnd w:id="6"/>
    </w:p>
    <w:p w14:paraId="1BED92C7" w14:textId="77777777" w:rsidR="007C5DE6" w:rsidRDefault="00546A82">
      <w:pPr>
        <w:pStyle w:val="Heading3"/>
      </w:pPr>
      <w:bookmarkStart w:id="7" w:name="_Ref309500900"/>
      <w:r>
        <w:t>Изискуемият размер на предоставеното обезпечение по т.5.8 при първоначална регистрация и последващите актуализации, се определят от НПО, съгласно Инструкция по чл.184, ал.1 от ПТЕЕ.</w:t>
      </w:r>
      <w:bookmarkEnd w:id="7"/>
    </w:p>
    <w:p w14:paraId="04248AFA" w14:textId="77777777" w:rsidR="007C5DE6" w:rsidRDefault="00546A82">
      <w:pPr>
        <w:pStyle w:val="Heading3"/>
      </w:pPr>
      <w:bookmarkStart w:id="8" w:name="_Ref309500986"/>
      <w:r>
        <w:t xml:space="preserve">НПО има право да изисква актуализация на сумата по т.5.9, най-малко един път годишно, както и </w:t>
      </w:r>
      <w:bookmarkEnd w:id="8"/>
      <w:r>
        <w:t>когато нетното изчислено задължение към НПО за съответния месец надвишава сумата на предоставеното обезпечение или в случай че прогнозното задължение съгласно предварителен физически сетълмент в рамките на месеца надвиши предоставеното обезпечение и в тези случаи изпраща уведомление на ТУ.</w:t>
      </w:r>
    </w:p>
    <w:p w14:paraId="08F45285" w14:textId="77777777" w:rsidR="007C5DE6" w:rsidRDefault="00546A82">
      <w:pPr>
        <w:pStyle w:val="Heading3"/>
      </w:pPr>
      <w:r>
        <w:t>Банковите гаранции за съответната година са със срок на валидност до 31 януари на следващата година, като до 15-то число на месец декември на предходната година ТУ е длъжен да предостави нова гаранция и/или документ за удължаване на нейния срок.</w:t>
      </w:r>
    </w:p>
    <w:p w14:paraId="200E668D" w14:textId="77777777" w:rsidR="007C5DE6" w:rsidRDefault="00546A82">
      <w:pPr>
        <w:pStyle w:val="Heading3"/>
      </w:pPr>
      <w:proofErr w:type="spellStart"/>
      <w:r>
        <w:t>Обезпеченията</w:t>
      </w:r>
      <w:proofErr w:type="spellEnd"/>
      <w:r w:rsidR="00214284">
        <w:t xml:space="preserve"> </w:t>
      </w:r>
      <w:r>
        <w:t>в полза на НПО се актуализират в сроковете, посочени в уведомлението по т.5.10.</w:t>
      </w:r>
    </w:p>
    <w:p w14:paraId="6380E578" w14:textId="77777777" w:rsidR="007C5DE6" w:rsidRDefault="00546A82">
      <w:pPr>
        <w:pStyle w:val="Heading3"/>
      </w:pPr>
      <w:r>
        <w:t>В случай че ТУ не актуализира размера на предоставеното гаранционно обезпечение в изискуемия срок и размер, НПО има право да го отстрани от пазара на електрическа енергия.</w:t>
      </w:r>
    </w:p>
    <w:p w14:paraId="62F019EA" w14:textId="77777777" w:rsidR="007C5DE6" w:rsidRDefault="007C5DE6"/>
    <w:p w14:paraId="301F005F" w14:textId="77777777" w:rsidR="007C5DE6" w:rsidRDefault="00546A82">
      <w:pPr>
        <w:pStyle w:val="Heading2"/>
      </w:pPr>
      <w:r>
        <w:br/>
        <w:t>Оспорване на количества и цени</w:t>
      </w:r>
    </w:p>
    <w:p w14:paraId="305E189A" w14:textId="77777777" w:rsidR="007C5DE6" w:rsidRDefault="00546A82">
      <w:pPr>
        <w:pStyle w:val="Heading3"/>
      </w:pPr>
      <w:bookmarkStart w:id="9" w:name="_Ref309501091"/>
      <w:r>
        <w:t>НПО изготвя обобщено извлечение за сетълмент, което ТУ има право да оспори в сроковете, съгласно ПТЕЕ.</w:t>
      </w:r>
      <w:bookmarkEnd w:id="9"/>
    </w:p>
    <w:p w14:paraId="24E2887D" w14:textId="77777777" w:rsidR="007C5DE6" w:rsidRDefault="00546A82">
      <w:pPr>
        <w:pStyle w:val="Heading3"/>
      </w:pPr>
      <w:r>
        <w:lastRenderedPageBreak/>
        <w:t>В случаите на оспорване по т.6.1 от този договор, ТУ прилага необходимите документи (справки, показания на електромери, обменена информация с НПО или разпределителното предприятие).</w:t>
      </w:r>
    </w:p>
    <w:p w14:paraId="219AF443" w14:textId="77777777" w:rsidR="007C5DE6" w:rsidRDefault="00546A82">
      <w:pPr>
        <w:pStyle w:val="Heading3"/>
      </w:pPr>
      <w:r>
        <w:t>НПО проверява повторно данните и при необходимост издава ново/и извлечения за сетълмент.</w:t>
      </w:r>
    </w:p>
    <w:p w14:paraId="50996171" w14:textId="77777777" w:rsidR="007C5DE6" w:rsidRDefault="00546A82">
      <w:pPr>
        <w:pStyle w:val="Heading3"/>
      </w:pPr>
      <w:r>
        <w:t>При наличие на спор по издадено извлечение за сетълмент,  след сроковете, посочени в ПТЕЕ, НПО и ТУ издават съответните фактури, съгласно обобщеното извлечение за сетълмент, което е в процес на оспорване и изпълняват задълженията по заплащането им съгласно т.6.6.</w:t>
      </w:r>
    </w:p>
    <w:p w14:paraId="273C013F" w14:textId="77777777" w:rsidR="007C5DE6" w:rsidRDefault="00546A82">
      <w:pPr>
        <w:pStyle w:val="Heading3"/>
      </w:pPr>
      <w:r>
        <w:t>При разрешаване на спора в срока за плащане по фактурите, страните заплащат реално дължимите суми, като разликите се уреждат чрез данъчно дебитно/кредитно известие.</w:t>
      </w:r>
    </w:p>
    <w:p w14:paraId="44089585" w14:textId="77777777" w:rsidR="007C5DE6" w:rsidRDefault="00546A82">
      <w:pPr>
        <w:pStyle w:val="Heading3"/>
      </w:pPr>
      <w:r>
        <w:t>В случай че спорът не е разрешен в срока за плащане по издадените фактури, страните заплащат дължимите суми, съгласно издадените фактури. При разрешаване на спора, разликите се уреждат чрез данъчно дебитно/кредитно известие.</w:t>
      </w:r>
    </w:p>
    <w:p w14:paraId="185CDBAC" w14:textId="77777777" w:rsidR="007C5DE6" w:rsidRDefault="00546A82">
      <w:pPr>
        <w:pStyle w:val="Heading3"/>
      </w:pPr>
      <w:r>
        <w:t>Задълженията по издадените дебитни/кредитни известия се заплащат в срок от 5 (пет) работни дни от получаването им.</w:t>
      </w:r>
    </w:p>
    <w:p w14:paraId="3D640C7B" w14:textId="77777777" w:rsidR="007C5DE6" w:rsidRDefault="007C5DE6"/>
    <w:p w14:paraId="423FB0F6" w14:textId="77777777" w:rsidR="007C5DE6" w:rsidRDefault="00546A82">
      <w:pPr>
        <w:pStyle w:val="Heading2"/>
      </w:pPr>
      <w:r>
        <w:br/>
        <w:t>Непреодолима сила</w:t>
      </w:r>
    </w:p>
    <w:p w14:paraId="2074A4E3" w14:textId="77777777" w:rsidR="007C5DE6" w:rsidRDefault="00546A82">
      <w:pPr>
        <w:pStyle w:val="Heading3"/>
      </w:pPr>
      <w:r>
        <w:t xml:space="preserve">Обстоятелства на непреодолима сила са непредвидени и непредотвратими събития или комбинация от събития от извънреден характер, извън контрола на страните, възникнали след сключването на договора като, но </w:t>
      </w:r>
      <w:proofErr w:type="spellStart"/>
      <w:r>
        <w:t>неограничаващи</w:t>
      </w:r>
      <w:proofErr w:type="spellEnd"/>
      <w:r>
        <w:t xml:space="preserve"> се до: война, саботаж, въстания, революция, бунт, терористични актове, експлозия, пожар, въздействие на околната среда върху електрически уредби и съоръжения по-големи от оразмерителните по проект, природни бедствия (наводнения, земетресения, мълнии, буря, ураган, торнадо, проливен дъжд, градушка, свличане, срутвания на земни маси, заледявания, и др.), доколкото тези събития пречат за изпълнение на задълженията по настоящия договор.</w:t>
      </w:r>
    </w:p>
    <w:p w14:paraId="35E651F0" w14:textId="77777777" w:rsidR="007C5DE6" w:rsidRDefault="00546A82">
      <w:pPr>
        <w:pStyle w:val="Heading3"/>
      </w:pPr>
      <w:r>
        <w:t xml:space="preserve">Страната, която не може да изпълни задълженията си по договора поради непреодолима сила, е длъжна да уведоми писмено другата страна за настъпването й, в какво се състои непреодолимата сила и края на събитието или обстоятелството във възможно най-кратък срок, но не по-късно от 48 часа от узнаването за непреодолимата сила. </w:t>
      </w:r>
    </w:p>
    <w:p w14:paraId="5FE223E0" w14:textId="77777777" w:rsidR="007C5DE6" w:rsidRDefault="00546A82">
      <w:pPr>
        <w:pStyle w:val="Heading3"/>
      </w:pPr>
      <w:r>
        <w:t>В случаите по т.7.1</w:t>
      </w:r>
      <w:r>
        <w:rPr>
          <w:lang w:val="ru-RU"/>
        </w:rPr>
        <w:t xml:space="preserve">, се </w:t>
      </w:r>
      <w:proofErr w:type="spellStart"/>
      <w:r>
        <w:rPr>
          <w:lang w:val="ru-RU"/>
        </w:rPr>
        <w:t>предприемат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действията</w:t>
      </w:r>
      <w:proofErr w:type="spellEnd"/>
      <w:r>
        <w:rPr>
          <w:lang w:val="ru-RU"/>
        </w:rPr>
        <w:t xml:space="preserve"> по т.2.14 и 2.</w:t>
      </w:r>
      <w:r>
        <w:t>15.</w:t>
      </w:r>
    </w:p>
    <w:p w14:paraId="0187315B" w14:textId="77777777" w:rsidR="007C5DE6" w:rsidRDefault="00546A82">
      <w:pPr>
        <w:pStyle w:val="Heading2"/>
      </w:pPr>
      <w:r>
        <w:br/>
      </w:r>
      <w:bookmarkStart w:id="10" w:name="_Ref309501540"/>
      <w:r>
        <w:t>Правила за обмен на документи и информация между страните</w:t>
      </w:r>
      <w:bookmarkEnd w:id="10"/>
    </w:p>
    <w:p w14:paraId="3A7D0F87" w14:textId="77777777" w:rsidR="007C5DE6" w:rsidRDefault="00546A82">
      <w:pPr>
        <w:pStyle w:val="Heading3"/>
      </w:pPr>
      <w:r>
        <w:t>В случай че по време на действие на този договор настъпи промяна в представените при регистрацията на пазара на балансираща енергия данни, търговският участник уведомява НПО по електронна поща в рамките на 5 (пет) работни дни от възникване на промяната, а впоследствие изпраща документите по пощата.</w:t>
      </w:r>
    </w:p>
    <w:p w14:paraId="6AC992F8" w14:textId="77777777" w:rsidR="007C5DE6" w:rsidRDefault="00546A82">
      <w:pPr>
        <w:pStyle w:val="Heading3"/>
      </w:pPr>
      <w:r>
        <w:t xml:space="preserve">Регистрирането на графиците за доставка се извършва съгласно инструкциите на НПО за ползване на системата за администриране на пазара и утвърдените електронни </w:t>
      </w:r>
      <w:r>
        <w:lastRenderedPageBreak/>
        <w:t>адреси на НПО и ТУ. При технически проблем, изпращащата страна изпраща информацията по факс, като спазва срока за изпращане на съответния документ.</w:t>
      </w:r>
    </w:p>
    <w:p w14:paraId="52183319" w14:textId="77777777" w:rsidR="007C5DE6" w:rsidRDefault="00546A82">
      <w:pPr>
        <w:pStyle w:val="Heading3"/>
      </w:pPr>
      <w:r>
        <w:t>ТУ се информира за дневните извлечения за сетълмент от системата за администриране на пазара, а обобщените извлечения за сетълмент се изпращат по електронна поща с потвърждение за получаване. В случай че ТУ не е получил обобщено извлечение по електронната поща, той уведомява НПО за това и НПО изпраща същия документ и по факс.</w:t>
      </w:r>
    </w:p>
    <w:p w14:paraId="056D1B6E" w14:textId="77777777" w:rsidR="007C5DE6" w:rsidRDefault="00546A82">
      <w:pPr>
        <w:pStyle w:val="Heading3"/>
      </w:pPr>
      <w:r>
        <w:t>Фактурите за балансираща енергия, издадени от НПО и ТУ, се изпращат с писмо с обратна разписка или по куриерска поща, освен в случаите, когато ТУ се е съгласил да получава електронна фактура.</w:t>
      </w:r>
    </w:p>
    <w:p w14:paraId="45C1FA2A" w14:textId="77777777" w:rsidR="007C5DE6" w:rsidRDefault="00546A82">
      <w:pPr>
        <w:pStyle w:val="Heading3"/>
      </w:pPr>
      <w:r>
        <w:t>Документ, изпратен по електронна поща, се счита за получен в момента на получаване на обратната разписка от сървъра на електронната поща на получателя. Документ, изпратен по факс, се счита за получен в отразения час върху документа, потвърждаващ изпращането му.</w:t>
      </w:r>
    </w:p>
    <w:p w14:paraId="3DA707BB" w14:textId="77777777" w:rsidR="007C5DE6" w:rsidRDefault="00546A82">
      <w:pPr>
        <w:pStyle w:val="Heading3"/>
      </w:pPr>
      <w:r>
        <w:t>При изпращане на документ по електронна поща и по факс за време на получаване се счита времето на първото получаване на документа.</w:t>
      </w:r>
    </w:p>
    <w:p w14:paraId="4BE06F0B" w14:textId="77777777" w:rsidR="007C5DE6" w:rsidRDefault="00546A82">
      <w:pPr>
        <w:pStyle w:val="Heading3"/>
      </w:pPr>
      <w:r>
        <w:t xml:space="preserve">Всички документи, </w:t>
      </w:r>
      <w:proofErr w:type="spellStart"/>
      <w:r>
        <w:t>неизброени</w:t>
      </w:r>
      <w:proofErr w:type="spellEnd"/>
      <w:r>
        <w:t xml:space="preserve"> изрично в раздел 8 на този договор, се изпращат по електронна поща с потвърждение за получаване.</w:t>
      </w:r>
    </w:p>
    <w:p w14:paraId="7C10D83A" w14:textId="77777777" w:rsidR="007C5DE6" w:rsidRDefault="00546A82">
      <w:pPr>
        <w:pStyle w:val="Heading3"/>
      </w:pPr>
      <w:r>
        <w:t>Документ се счита за валиден, ако е подписан или изпратен от съответно упълномощено лице от списъка лица в Заявлението за регистрация (за ТУ) и от Известието за приемане на заявлението за регистрация (за НПО).</w:t>
      </w:r>
    </w:p>
    <w:p w14:paraId="2D44241B" w14:textId="77777777" w:rsidR="007C5DE6" w:rsidRDefault="00546A82">
      <w:pPr>
        <w:pStyle w:val="Heading3"/>
      </w:pPr>
      <w:r>
        <w:t>Документите, изпратени по факс съдържат име и подпис на лицето, упълномощено да подписва документи, във връзка с участието на пазара на балансираща енергия.</w:t>
      </w:r>
    </w:p>
    <w:p w14:paraId="2A29DD2D" w14:textId="77777777" w:rsidR="007C5DE6" w:rsidRDefault="00546A82">
      <w:pPr>
        <w:pStyle w:val="Heading3"/>
      </w:pPr>
      <w:r>
        <w:t>Документите, изпратени по електронна поща се считат за валидни, ако са изпратени от електронния адрес на лицето, упълномощено да изпраща съответния документ.</w:t>
      </w:r>
    </w:p>
    <w:p w14:paraId="2316D81F" w14:textId="77777777" w:rsidR="007C5DE6" w:rsidRDefault="00546A82">
      <w:pPr>
        <w:pStyle w:val="Heading3"/>
      </w:pPr>
      <w:r>
        <w:t>За целите на документооборота, НПО и ТУ поддържат времето на сървърите на електронната поща синхронизирано с часовото време на България.</w:t>
      </w:r>
    </w:p>
    <w:p w14:paraId="3E6DEFC2" w14:textId="77777777" w:rsidR="007C5DE6" w:rsidRDefault="00546A82">
      <w:pPr>
        <w:pStyle w:val="Heading3"/>
      </w:pPr>
      <w:r>
        <w:t>Изисквания към сървъра за електронна поща:</w:t>
      </w:r>
    </w:p>
    <w:p w14:paraId="1A93BECB" w14:textId="77777777" w:rsidR="007C5DE6" w:rsidRDefault="00546A82">
      <w:pPr>
        <w:pStyle w:val="Heading3"/>
        <w:numPr>
          <w:ilvl w:val="0"/>
          <w:numId w:val="21"/>
        </w:numPr>
      </w:pPr>
      <w:r>
        <w:t>Системният часовник на сървъра за електронна поща и на прехвърлящия (</w:t>
      </w:r>
      <w:proofErr w:type="spellStart"/>
      <w:r>
        <w:t>relay</w:t>
      </w:r>
      <w:proofErr w:type="spellEnd"/>
      <w:r>
        <w:t>) сървър, ако има такъв, да се поддържа с отклонение по-малко от една минута от DST на часовия пояс, в който се намира България.</w:t>
      </w:r>
    </w:p>
    <w:p w14:paraId="310B3901" w14:textId="77777777" w:rsidR="007C5DE6" w:rsidRDefault="00546A82">
      <w:pPr>
        <w:pStyle w:val="Heading3"/>
      </w:pPr>
      <w:r>
        <w:t>Потвърждение и време за получените съобщения:</w:t>
      </w:r>
    </w:p>
    <w:p w14:paraId="1696AB3D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</w:rPr>
      </w:pPr>
      <w:r>
        <w:rPr>
          <w:rFonts w:cs="Arial"/>
        </w:rPr>
        <w:t xml:space="preserve">Когато сървърът за електронна поща е свързан директно към интернет, за време на получаване на съобщенията ще се счита регистрираното време за получаване в сървъра, съдържащо се в обратната разписка - </w:t>
      </w:r>
      <w:proofErr w:type="spellStart"/>
      <w:r>
        <w:rPr>
          <w:rFonts w:cs="Arial"/>
        </w:rPr>
        <w:t>Delivery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Receipt</w:t>
      </w:r>
      <w:proofErr w:type="spellEnd"/>
      <w:r>
        <w:rPr>
          <w:rFonts w:cs="Arial"/>
        </w:rPr>
        <w:t>. Сървърът трябва да осигурява такава обратна разписка.</w:t>
      </w:r>
    </w:p>
    <w:p w14:paraId="2D340EC4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</w:rPr>
      </w:pPr>
      <w:r>
        <w:rPr>
          <w:rFonts w:cs="Arial"/>
        </w:rPr>
        <w:t>Когато сървърът за електронна поща е свързан към интернет чрез прехвърлящ (</w:t>
      </w:r>
      <w:proofErr w:type="spellStart"/>
      <w:r>
        <w:rPr>
          <w:rFonts w:cs="Arial"/>
        </w:rPr>
        <w:t>relay</w:t>
      </w:r>
      <w:proofErr w:type="spellEnd"/>
      <w:r>
        <w:rPr>
          <w:rFonts w:cs="Arial"/>
        </w:rPr>
        <w:t>) сървър, за време на получаване на съобщенията ще се счита регистрираното време за получаване в прехвърлящия сървър. Последният трябва да осигурява изпращане на разписка, съдържаща времето на получаване на съобщението.</w:t>
      </w:r>
    </w:p>
    <w:p w14:paraId="4127333E" w14:textId="77777777" w:rsidR="007C5DE6" w:rsidRDefault="00546A82">
      <w:pPr>
        <w:pStyle w:val="Heading2"/>
      </w:pPr>
      <w:r>
        <w:lastRenderedPageBreak/>
        <w:br/>
        <w:t>Прекратяване на Договора за балансиране</w:t>
      </w:r>
    </w:p>
    <w:p w14:paraId="17E5BAA7" w14:textId="77777777" w:rsidR="007C5DE6" w:rsidRDefault="00546A82">
      <w:pPr>
        <w:pStyle w:val="Heading3"/>
      </w:pPr>
      <w:r>
        <w:t>Договорът за балансиране се прекратява:</w:t>
      </w:r>
    </w:p>
    <w:p w14:paraId="63364613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</w:rPr>
      </w:pPr>
      <w:r>
        <w:rPr>
          <w:rFonts w:cs="Arial"/>
        </w:rPr>
        <w:t>При вписването на ТУ със статус „отстранен“ в регистъра на търговските участници, поддържан от НПО.</w:t>
      </w:r>
    </w:p>
    <w:p w14:paraId="342B2397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</w:rPr>
      </w:pPr>
      <w:r>
        <w:rPr>
          <w:rFonts w:cs="Arial"/>
        </w:rPr>
        <w:t>При заличаването на юридическото лице, страна по този договор.</w:t>
      </w:r>
    </w:p>
    <w:p w14:paraId="760125C7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</w:rPr>
      </w:pPr>
      <w:r>
        <w:rPr>
          <w:rFonts w:cs="Arial"/>
        </w:rPr>
        <w:t>При отнемане или прекратяване на лицензията, на която и да е от страните по този договор за съответната дейност.</w:t>
      </w:r>
    </w:p>
    <w:p w14:paraId="25133FE7" w14:textId="77777777" w:rsidR="007C5DE6" w:rsidRDefault="00546A82">
      <w:pPr>
        <w:pStyle w:val="Heading4"/>
        <w:tabs>
          <w:tab w:val="clear" w:pos="709"/>
          <w:tab w:val="num" w:pos="851"/>
        </w:tabs>
        <w:ind w:left="851"/>
        <w:rPr>
          <w:rFonts w:cs="Arial"/>
          <w:b/>
          <w:i/>
        </w:rPr>
      </w:pPr>
      <w:r>
        <w:rPr>
          <w:rFonts w:cs="Arial"/>
        </w:rPr>
        <w:t>По взаимно съгласие между страните.</w:t>
      </w:r>
    </w:p>
    <w:p w14:paraId="6E873717" w14:textId="77777777" w:rsidR="007C5DE6" w:rsidRDefault="00546A82">
      <w:pPr>
        <w:numPr>
          <w:ilvl w:val="1"/>
          <w:numId w:val="25"/>
        </w:numPr>
        <w:rPr>
          <w:rFonts w:cs="Arial"/>
        </w:rPr>
      </w:pPr>
      <w:r>
        <w:rPr>
          <w:rFonts w:cs="Arial"/>
        </w:rPr>
        <w:t>НПО има право да прекрати едностранно договора и да отстрани ТУ от пазара на електроенергия в следните случаи:</w:t>
      </w:r>
    </w:p>
    <w:p w14:paraId="545953B5" w14:textId="77777777" w:rsidR="007C5DE6" w:rsidRDefault="00546A82">
      <w:pPr>
        <w:numPr>
          <w:ilvl w:val="2"/>
          <w:numId w:val="24"/>
        </w:numPr>
        <w:ind w:hanging="578"/>
        <w:rPr>
          <w:rFonts w:cs="Arial"/>
        </w:rPr>
      </w:pPr>
      <w:r>
        <w:rPr>
          <w:rFonts w:cs="Arial"/>
        </w:rPr>
        <w:t>При нарушаване от ТУ на условията на договора и ПТЕЕ, за което той е бил писмено предупреден.</w:t>
      </w:r>
    </w:p>
    <w:p w14:paraId="01ED2564" w14:textId="77777777" w:rsidR="007C5DE6" w:rsidRDefault="00546A82">
      <w:pPr>
        <w:numPr>
          <w:ilvl w:val="2"/>
          <w:numId w:val="24"/>
        </w:numPr>
        <w:ind w:hanging="578"/>
        <w:rPr>
          <w:rFonts w:cs="Arial"/>
        </w:rPr>
      </w:pPr>
      <w:r>
        <w:rPr>
          <w:rFonts w:cs="Arial"/>
          <w:bCs/>
        </w:rPr>
        <w:t xml:space="preserve">При неизплатени задължения на ТУ по отношение на достъпа, преноса и участието в пазара на електрическа енергия, както и при </w:t>
      </w:r>
      <w:proofErr w:type="spellStart"/>
      <w:r>
        <w:rPr>
          <w:rFonts w:cs="Arial"/>
          <w:bCs/>
        </w:rPr>
        <w:t>невнесени</w:t>
      </w:r>
      <w:proofErr w:type="spellEnd"/>
      <w:r>
        <w:rPr>
          <w:rFonts w:cs="Arial"/>
          <w:bCs/>
        </w:rPr>
        <w:t>, невъзстановени или неактуализирани гаранционни обезпечения.</w:t>
      </w:r>
    </w:p>
    <w:p w14:paraId="01C0309E" w14:textId="77777777" w:rsidR="007C5DE6" w:rsidRDefault="00546A82">
      <w:pPr>
        <w:numPr>
          <w:ilvl w:val="2"/>
          <w:numId w:val="24"/>
        </w:numPr>
        <w:ind w:hanging="578"/>
        <w:rPr>
          <w:rFonts w:cs="Arial"/>
        </w:rPr>
      </w:pPr>
      <w:r>
        <w:rPr>
          <w:rFonts w:cs="Arial"/>
        </w:rPr>
        <w:t>ТУ е обявен в несъстоятелност или е в процес на ликвидация.</w:t>
      </w:r>
    </w:p>
    <w:p w14:paraId="4515D539" w14:textId="77777777" w:rsidR="007C5DE6" w:rsidRDefault="00546A82">
      <w:pPr>
        <w:pStyle w:val="Heading2"/>
      </w:pPr>
      <w:r>
        <w:br/>
        <w:t>Заключителни клаузи</w:t>
      </w:r>
    </w:p>
    <w:p w14:paraId="71A1C28B" w14:textId="77777777" w:rsidR="007C5DE6" w:rsidRDefault="00546A82">
      <w:pPr>
        <w:pStyle w:val="Heading3"/>
      </w:pPr>
      <w:r>
        <w:t>Изменение на клаузите на договора и неговите приложения в срока на действие на договора може да поиска всяка от страните. Измененията и допълненията трябва да бъдат само във формата на допълнителни споразумения, подписани от двете страни.</w:t>
      </w:r>
    </w:p>
    <w:p w14:paraId="65B134B2" w14:textId="77777777" w:rsidR="007C5DE6" w:rsidRDefault="00546A82">
      <w:pPr>
        <w:pStyle w:val="Heading3"/>
        <w:rPr>
          <w:noProof/>
        </w:rPr>
      </w:pPr>
      <w:r>
        <w:t>Страните се съгласяват, всички спорове, породени от този договор или отнасящи се до него, включително спорове, отнасящи се до неговото тълкуване, недействителност, изпълнение или прекратяване, както и спорове за попълване празнота в договора или приспособяването му към нововъзникнали обстоятелства, както и противоречия, претенции или различия, произтичащи от или във връзка с настоящия договор, да се решават по пътя на преговори.</w:t>
      </w:r>
    </w:p>
    <w:p w14:paraId="5A3F8793" w14:textId="77777777" w:rsidR="007C5DE6" w:rsidRDefault="00546A82">
      <w:pPr>
        <w:pStyle w:val="Heading3"/>
        <w:rPr>
          <w:noProof/>
        </w:rPr>
      </w:pPr>
      <w:r>
        <w:t>При непостигане на съгласие, споровете ще бъдат решавани от компетентния съд в гр. София съгласно разпоредбите на действащото българско законодателство.</w:t>
      </w:r>
    </w:p>
    <w:p w14:paraId="5240F65B" w14:textId="77777777" w:rsidR="007C5DE6" w:rsidRDefault="00546A82">
      <w:pPr>
        <w:pStyle w:val="Heading3"/>
        <w:rPr>
          <w:noProof/>
        </w:rPr>
      </w:pPr>
      <w:r>
        <w:t>Когато документацията и информацията по този договор съдържат данни, представляващи класифицирана информация, се прилага редът, предвиден в Закона за защита на класифицираната информация.</w:t>
      </w:r>
    </w:p>
    <w:p w14:paraId="2137E6BD" w14:textId="77777777" w:rsidR="007C5DE6" w:rsidRDefault="007C5DE6"/>
    <w:p w14:paraId="789BA6CA" w14:textId="77777777" w:rsidR="007C5DE6" w:rsidRDefault="00546A82">
      <w:pPr>
        <w:pStyle w:val="Heading2"/>
      </w:pPr>
      <w:r>
        <w:br/>
        <w:t>Банкови сметки на страните</w:t>
      </w:r>
    </w:p>
    <w:p w14:paraId="065A9430" w14:textId="77777777" w:rsidR="007C5DE6" w:rsidRDefault="00546A82">
      <w:pPr>
        <w:pStyle w:val="Heading3"/>
      </w:pPr>
      <w:r>
        <w:t>Име на банка, адрес и банковата сметка на НПО от която и при която ще се извършват плащания по този договор</w:t>
      </w:r>
      <w:r>
        <w:rPr>
          <w:lang w:val="en-US"/>
        </w:rPr>
        <w:t xml:space="preserve"> </w:t>
      </w:r>
      <w:r>
        <w:t>са посочени в сайта и във фактурите издавани от  НПО.</w:t>
      </w:r>
    </w:p>
    <w:p w14:paraId="5BF3B234" w14:textId="77777777" w:rsidR="007C5DE6" w:rsidRDefault="00546A82">
      <w:pPr>
        <w:pStyle w:val="Heading3"/>
      </w:pPr>
      <w:r>
        <w:lastRenderedPageBreak/>
        <w:t>Име на банка, адрес и банковата сметка на ТУ, от която и при която ще се извършват плащания по този договор.</w:t>
      </w:r>
    </w:p>
    <w:p w14:paraId="2F085AA5" w14:textId="77777777" w:rsidR="007C5DE6" w:rsidRDefault="00546A82">
      <w:pPr>
        <w:rPr>
          <w:lang w:val="en-US"/>
        </w:rPr>
      </w:pPr>
      <w:r>
        <w:t>…………………………………………………………………………………………………………</w:t>
      </w:r>
      <w:r>
        <w:rPr>
          <w:lang w:val="en-US"/>
        </w:rPr>
        <w:t>……</w:t>
      </w:r>
    </w:p>
    <w:p w14:paraId="6E8A390A" w14:textId="77777777" w:rsidR="007C5DE6" w:rsidRDefault="00546A82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……………………………………………………………………………………………………………….</w:t>
      </w:r>
    </w:p>
    <w:p w14:paraId="47BB3150" w14:textId="77777777" w:rsidR="007C5DE6" w:rsidRDefault="007C5DE6"/>
    <w:bookmarkEnd w:id="0"/>
    <w:p w14:paraId="735FAD7D" w14:textId="77777777" w:rsidR="007C5DE6" w:rsidRDefault="00546A82">
      <w:pPr>
        <w:pStyle w:val="Heading3"/>
        <w:numPr>
          <w:ilvl w:val="0"/>
          <w:numId w:val="0"/>
        </w:numPr>
      </w:pPr>
      <w:r>
        <w:t>Неразделна част от Договора са:</w:t>
      </w:r>
    </w:p>
    <w:p w14:paraId="388F9609" w14:textId="77777777" w:rsidR="007C5DE6" w:rsidRDefault="00546A82">
      <w:pPr>
        <w:pStyle w:val="Caption"/>
        <w:rPr>
          <w:lang w:val="ru-RU"/>
        </w:rPr>
      </w:pPr>
      <w:bookmarkStart w:id="11" w:name="_Ref298321821"/>
      <w:r>
        <w:t>Приложение №</w:t>
      </w:r>
      <w:bookmarkEnd w:id="11"/>
      <w:r>
        <w:t>1</w:t>
      </w:r>
      <w:r>
        <w:tab/>
        <w:t>Заявление за регистрация в пазара на балансираща енергия</w:t>
      </w:r>
      <w:r>
        <w:rPr>
          <w:lang w:val="ru-RU"/>
        </w:rPr>
        <w:t>.</w:t>
      </w:r>
    </w:p>
    <w:p w14:paraId="777BBA66" w14:textId="77777777" w:rsidR="007C5DE6" w:rsidRDefault="00546A82">
      <w:pPr>
        <w:pStyle w:val="Caption"/>
      </w:pPr>
      <w:bookmarkStart w:id="12" w:name="_Ref298316513"/>
      <w:r>
        <w:t>Приложение №2</w:t>
      </w:r>
      <w:r>
        <w:tab/>
        <w:t>Известие за приемане на заявлението за регистрация.</w:t>
      </w:r>
    </w:p>
    <w:p w14:paraId="60AAC0CE" w14:textId="77777777" w:rsidR="007C5DE6" w:rsidRDefault="00546A82">
      <w:pPr>
        <w:pStyle w:val="Caption"/>
      </w:pPr>
      <w:r>
        <w:t>Приложение №3</w:t>
      </w:r>
      <w:r>
        <w:tab/>
        <w:t>Декларация – съгласие за обработване на лични данни.</w:t>
      </w:r>
    </w:p>
    <w:bookmarkEnd w:id="12"/>
    <w:p w14:paraId="11B39274" w14:textId="77777777" w:rsidR="007C5DE6" w:rsidRDefault="00546A82">
      <w:pPr>
        <w:tabs>
          <w:tab w:val="left" w:pos="5670"/>
        </w:tabs>
        <w:spacing w:before="100" w:beforeAutospacing="1"/>
        <w:rPr>
          <w:lang w:val="en-US"/>
        </w:rPr>
      </w:pPr>
      <w:r>
        <w:t>Този договор е подписан в два еднообразни екземпляра - по един за всяка от страните.</w:t>
      </w:r>
    </w:p>
    <w:p w14:paraId="31062A08" w14:textId="77777777" w:rsidR="007C5DE6" w:rsidRDefault="00546A82">
      <w:pPr>
        <w:tabs>
          <w:tab w:val="left" w:pos="5670"/>
        </w:tabs>
        <w:spacing w:before="720"/>
        <w:rPr>
          <w:b/>
        </w:rPr>
      </w:pPr>
      <w:r>
        <w:rPr>
          <w:b/>
        </w:rPr>
        <w:t>ЗА НПО</w:t>
      </w:r>
      <w:r>
        <w:rPr>
          <w:b/>
        </w:rPr>
        <w:tab/>
        <w:t>ЗА ТЪРГОВСКИЯ УЧАСТНИК</w:t>
      </w:r>
    </w:p>
    <w:p w14:paraId="54875018" w14:textId="77777777" w:rsidR="007C5DE6" w:rsidRDefault="00546A82">
      <w:pPr>
        <w:tabs>
          <w:tab w:val="left" w:pos="5670"/>
        </w:tabs>
        <w:spacing w:before="360" w:after="40"/>
      </w:pPr>
      <w:r>
        <w:t>………………………</w:t>
      </w:r>
      <w:r>
        <w:tab/>
        <w:t>……………………….</w:t>
      </w:r>
    </w:p>
    <w:p w14:paraId="661884BB" w14:textId="6F6CD95C" w:rsidR="007C5DE6" w:rsidRDefault="006E4519">
      <w:pPr>
        <w:tabs>
          <w:tab w:val="left" w:pos="5670"/>
        </w:tabs>
        <w:spacing w:before="40" w:after="40"/>
        <w:rPr>
          <w:lang w:val="ru-RU"/>
        </w:rPr>
      </w:pPr>
      <w:r w:rsidRPr="00661C38">
        <w:rPr>
          <w:rFonts w:cs="Arial"/>
        </w:rPr>
        <w:t>КИРИЛ ГЕОРГИЕВ</w:t>
      </w:r>
      <w:r w:rsidR="00546A82">
        <w:tab/>
        <w:t>……………………….</w:t>
      </w:r>
    </w:p>
    <w:p w14:paraId="55A8D5DF" w14:textId="77777777" w:rsidR="007C5DE6" w:rsidRDefault="00546A82">
      <w:pPr>
        <w:tabs>
          <w:tab w:val="left" w:pos="5670"/>
        </w:tabs>
        <w:spacing w:before="40" w:after="40"/>
        <w:rPr>
          <w:lang w:val="en-US"/>
        </w:rPr>
      </w:pPr>
      <w:r>
        <w:t>ИЗПЪЛНИТЕЛЕН ДИРЕКТОР</w:t>
      </w:r>
      <w:r>
        <w:tab/>
        <w:t>……………………….</w:t>
      </w:r>
    </w:p>
    <w:p w14:paraId="4921A0FB" w14:textId="77777777" w:rsidR="007C5DE6" w:rsidRDefault="007C5DE6">
      <w:pPr>
        <w:tabs>
          <w:tab w:val="left" w:pos="5670"/>
        </w:tabs>
        <w:spacing w:before="40" w:after="40"/>
        <w:rPr>
          <w:lang w:val="en-US"/>
        </w:rPr>
      </w:pPr>
    </w:p>
    <w:p w14:paraId="2A299646" w14:textId="77777777" w:rsidR="007C5DE6" w:rsidRDefault="007C5DE6">
      <w:pPr>
        <w:tabs>
          <w:tab w:val="left" w:pos="5670"/>
        </w:tabs>
        <w:spacing w:before="40" w:after="40"/>
        <w:rPr>
          <w:lang w:val="en-US"/>
        </w:rPr>
        <w:sectPr w:rsidR="007C5DE6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134" w:bottom="1134" w:left="1418" w:header="709" w:footer="709" w:gutter="0"/>
          <w:cols w:space="708"/>
          <w:titlePg/>
          <w:docGrid w:linePitch="360"/>
        </w:sectPr>
      </w:pPr>
    </w:p>
    <w:p w14:paraId="1876D426" w14:textId="77777777" w:rsidR="007C5DE6" w:rsidRDefault="00546A82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ДЕКЛАРАЦИЯ – СЪГЛАСИЕ</w:t>
      </w:r>
    </w:p>
    <w:p w14:paraId="21B56BAE" w14:textId="77777777" w:rsidR="007C5DE6" w:rsidRDefault="00546A82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 ОБРАБОТВАНЕ НА ЛИЧНИ ДАННИ</w:t>
      </w:r>
    </w:p>
    <w:p w14:paraId="47F0BCB1" w14:textId="77777777" w:rsidR="007C5DE6" w:rsidRDefault="007C5DE6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79839AE7" w14:textId="77777777" w:rsidR="007C5DE6" w:rsidRDefault="007C5DE6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8DA907F" w14:textId="77777777" w:rsidR="007C5DE6" w:rsidRDefault="00546A8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Долуподписаният/ата………………………………………………………………………..…………………………………….с ЕГН…………………., лична карта №……………………….., в качеството си на………………………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......................................................................................................., с ЕИК ............................. в Търговския регистър при Агенция по вписванията, със седалище и адрес на управление:.................................................................................................................................,</w:t>
      </w:r>
    </w:p>
    <w:p w14:paraId="03E6264A" w14:textId="77777777" w:rsidR="007C5DE6" w:rsidRDefault="007C5DE6">
      <w:pPr>
        <w:spacing w:before="0"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2F57A9AB" w14:textId="77777777" w:rsidR="007C5DE6" w:rsidRDefault="007C5DE6">
      <w:pPr>
        <w:spacing w:before="0"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5114D538" w14:textId="77777777" w:rsidR="007C5DE6" w:rsidRDefault="00546A82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 Е К Л А Р И Р А М   Ч Е:</w:t>
      </w:r>
    </w:p>
    <w:p w14:paraId="2744A5DA" w14:textId="77777777" w:rsidR="007C5DE6" w:rsidRDefault="007C5DE6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F9B743D" w14:textId="77777777" w:rsidR="007C5DE6" w:rsidRDefault="007C5DE6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9C70C0B" w14:textId="77777777" w:rsidR="007C5DE6" w:rsidRDefault="00546A82">
      <w:pPr>
        <w:numPr>
          <w:ilvl w:val="0"/>
          <w:numId w:val="26"/>
        </w:numPr>
        <w:tabs>
          <w:tab w:val="left" w:pos="709"/>
        </w:tabs>
        <w:spacing w:before="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Давам изричното си съгласие в съответствие с изискванията на ч</w:t>
      </w:r>
      <w:r>
        <w:rPr>
          <w:rFonts w:ascii="Times New Roman" w:hAnsi="Times New Roman"/>
          <w:sz w:val="24"/>
          <w:szCs w:val="24"/>
          <w:shd w:val="clear" w:color="auto" w:fill="FFFFFF"/>
        </w:rPr>
        <w:t>л. 6 и чл. 13 от Регламент (ЕС) 2016/679 на Европейския парламент и на съвета от 27.04.2016 г. относно защита на личните данни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„Електроенергиен системен оператор” ЕАД </w:t>
      </w:r>
      <w:r>
        <w:rPr>
          <w:rFonts w:ascii="Times New Roman" w:hAnsi="Times New Roman"/>
          <w:bCs/>
          <w:sz w:val="24"/>
          <w:szCs w:val="24"/>
        </w:rPr>
        <w:t>(ЕСО ЕАД),</w:t>
      </w:r>
      <w:r>
        <w:rPr>
          <w:rFonts w:ascii="Times New Roman" w:hAnsi="Times New Roman"/>
          <w:sz w:val="24"/>
          <w:szCs w:val="24"/>
        </w:rPr>
        <w:t xml:space="preserve"> регистрирано в Търговския регистър на Агенцията по вписванията, ЕИК 175201304, със седалище и адрес на управление: гр. София 1618, </w:t>
      </w:r>
      <w:r>
        <w:rPr>
          <w:rFonts w:ascii="Times New Roman" w:hAnsi="Times New Roman"/>
          <w:color w:val="000000"/>
          <w:sz w:val="24"/>
          <w:szCs w:val="24"/>
        </w:rPr>
        <w:t xml:space="preserve">бул. „Цар Борис III“ № 201, </w:t>
      </w:r>
      <w:r>
        <w:rPr>
          <w:rFonts w:ascii="Times New Roman" w:hAnsi="Times New Roman"/>
          <w:sz w:val="24"/>
          <w:szCs w:val="24"/>
        </w:rPr>
        <w:t xml:space="preserve">Столична община – </w:t>
      </w:r>
      <w:r>
        <w:rPr>
          <w:rFonts w:ascii="Times New Roman" w:hAnsi="Times New Roman"/>
          <w:color w:val="000000"/>
          <w:sz w:val="24"/>
          <w:szCs w:val="24"/>
        </w:rPr>
        <w:t>район Витоша</w:t>
      </w:r>
      <w:r>
        <w:rPr>
          <w:rFonts w:ascii="Times New Roman" w:hAnsi="Times New Roman"/>
          <w:sz w:val="24"/>
          <w:szCs w:val="24"/>
        </w:rPr>
        <w:t xml:space="preserve">, в качеството му на Администратор на лични данни, да обработва моите лични данни по всички допустими от приложимото законодателство начини, с автоматични или други средства, като съм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информиран своевременно и изчерпателно от посочения администратор за логиката на всяко автоматизирано обработване на личните ми данни, в случай на наличие на такова.</w:t>
      </w:r>
      <w:r>
        <w:rPr>
          <w:rFonts w:ascii="Times New Roman" w:hAnsi="Times New Roman"/>
          <w:sz w:val="24"/>
          <w:szCs w:val="24"/>
        </w:rPr>
        <w:t xml:space="preserve"> Съгласието се отнася както за предоставените пряко от мен мои лични данни, така и за такива, събрани и/или получени от ЕСО ЕАД в изпълнение на законови и/или договорни задължения на Дружеството или от публично достъпни регистри с информация. </w:t>
      </w:r>
    </w:p>
    <w:p w14:paraId="4425F190" w14:textId="77777777" w:rsidR="007C5DE6" w:rsidRDefault="00546A82">
      <w:pPr>
        <w:numPr>
          <w:ilvl w:val="0"/>
          <w:numId w:val="26"/>
        </w:numPr>
        <w:tabs>
          <w:tab w:val="left" w:pos="709"/>
        </w:tabs>
        <w:spacing w:before="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Декларирам, че съм запознат с категориите лични данни, които ЕСО ЕАД обработва за мен, а именно лични данни относно физическа идентичност: три имена, единен граждански номер, идентификационен номер на документ за самоличност, имейл адрес, телефон, месторабота.</w:t>
      </w:r>
    </w:p>
    <w:p w14:paraId="7EB10CE8" w14:textId="77777777" w:rsidR="007C5DE6" w:rsidRDefault="00546A82">
      <w:pPr>
        <w:numPr>
          <w:ilvl w:val="0"/>
          <w:numId w:val="26"/>
        </w:numPr>
        <w:tabs>
          <w:tab w:val="left" w:pos="709"/>
        </w:tabs>
        <w:spacing w:before="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Давам изричното си съгласие личните ми данни да бъдат обработвани от ЕСО ЕАД за целите на договора за балансиране.</w:t>
      </w:r>
    </w:p>
    <w:p w14:paraId="69491A30" w14:textId="77777777" w:rsidR="007C5DE6" w:rsidRDefault="00546A82">
      <w:pPr>
        <w:numPr>
          <w:ilvl w:val="0"/>
          <w:numId w:val="26"/>
        </w:numPr>
        <w:tabs>
          <w:tab w:val="left" w:pos="709"/>
        </w:tabs>
        <w:spacing w:before="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Уведомен съм, че предоставените от мен лични данни могат да бъдат предоставени и/или разкривани от ЕСО ЕАД, когато това предоставяне и/или разкриване се изисква по закон и/или при необходимост на трети лица – държавни и др. органи, институции и ведомства, при спазване на приложимото законодателство за защита на личните данни.</w:t>
      </w:r>
    </w:p>
    <w:p w14:paraId="347E91A8" w14:textId="77777777" w:rsidR="007C5DE6" w:rsidRDefault="00546A82">
      <w:pPr>
        <w:numPr>
          <w:ilvl w:val="0"/>
          <w:numId w:val="26"/>
        </w:numPr>
        <w:tabs>
          <w:tab w:val="left" w:pos="709"/>
        </w:tabs>
        <w:spacing w:before="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Декларирам, че съм съгласен предоставените от мен лични данни да се съхраняват в законоустановените срокове, но не повече от 20 (двадесет) години.</w:t>
      </w:r>
    </w:p>
    <w:p w14:paraId="76A6BB49" w14:textId="77777777" w:rsidR="007C5DE6" w:rsidRDefault="00546A82">
      <w:pPr>
        <w:numPr>
          <w:ilvl w:val="0"/>
          <w:numId w:val="26"/>
        </w:numPr>
        <w:tabs>
          <w:tab w:val="left" w:pos="709"/>
        </w:tabs>
        <w:spacing w:before="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Запознат съм с правото ми на възражение срещу обработването на личните ми данни по чл. 21 от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bg-BG"/>
        </w:rPr>
        <w:t>Регламент (ЕС) 2016/679 на Европейския парламент и на съвета от 27.04.2016 г. относно защита на личните данни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чрез изпращане на писмено заявление, подписано от мен, на адрес: гр. София 1618,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бул. „Цар Борис III“ № 201,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Столична община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район Витоша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или на имейл адрес: </w:t>
      </w:r>
      <w:hyperlink r:id="rId11" w:history="1">
        <w:r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</w:rPr>
          <w:t>eso@eso.bg</w:t>
        </w:r>
      </w:hyperlink>
      <w:r>
        <w:rPr>
          <w:rFonts w:ascii="Times New Roman" w:eastAsia="Times New Roman" w:hAnsi="Times New Roman"/>
          <w:sz w:val="24"/>
          <w:szCs w:val="24"/>
          <w:lang w:val="en-US" w:eastAsia="bg-BG"/>
        </w:rPr>
        <w:t>.</w:t>
      </w:r>
    </w:p>
    <w:p w14:paraId="756BD6E1" w14:textId="77777777" w:rsidR="007C5DE6" w:rsidRDefault="00546A82">
      <w:pPr>
        <w:numPr>
          <w:ilvl w:val="0"/>
          <w:numId w:val="26"/>
        </w:numPr>
        <w:tabs>
          <w:tab w:val="left" w:pos="709"/>
        </w:tabs>
        <w:spacing w:before="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Запознат съм с правото си да променя или оттегля съгласието си личните ми данни или част от тях да бъдат обработвани за целите на сключения договор, както и да бъдат предоставяни на трети лица с тази цел, чрез изпращане на писмено заявление, подписано от мен, на адрес: гр. София 1618,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бул. „Цар Борис III“ № 201,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Столична община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район Витоша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или имейл адрес: </w:t>
      </w:r>
      <w:hyperlink r:id="rId12" w:history="1">
        <w:r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</w:rPr>
          <w:t>eso@eso.bg</w:t>
        </w:r>
      </w:hyperlink>
      <w:r>
        <w:rPr>
          <w:rStyle w:val="Hyperlink"/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Същевременно, изпълнението на сключения с ЕСО ЕАД договор по какъвто и да е начин не е поставен в зависимост от наличието на съгласие. </w:t>
      </w:r>
    </w:p>
    <w:p w14:paraId="451F5D37" w14:textId="77777777" w:rsidR="007C5DE6" w:rsidRDefault="00546A82">
      <w:pPr>
        <w:numPr>
          <w:ilvl w:val="0"/>
          <w:numId w:val="26"/>
        </w:numPr>
        <w:tabs>
          <w:tab w:val="left" w:pos="709"/>
        </w:tabs>
        <w:spacing w:before="0"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Декларирам, че цялата предоставена от мен информация е пълна и вярна, както и че предоставям доброволно личните си данни и съм съгласен всички и всякакви мои лични данни да бъдат обработвани, съобразно предвиденото в настоящата декларация, за целите, изрично посочени в настоящата декларация.</w:t>
      </w:r>
    </w:p>
    <w:p w14:paraId="5F47DAF9" w14:textId="77777777" w:rsidR="007C5DE6" w:rsidRDefault="007C5DE6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2A8740C" w14:textId="77777777" w:rsidR="007C5DE6" w:rsidRDefault="007C5DE6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7378D848" w14:textId="77777777" w:rsidR="007C5DE6" w:rsidRDefault="00546A82">
      <w:pPr>
        <w:spacing w:before="0"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Дата:.………….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                    Подпис:…………………………….</w:t>
      </w:r>
    </w:p>
    <w:sectPr w:rsidR="007C5DE6">
      <w:pgSz w:w="11906" w:h="16838"/>
      <w:pgMar w:top="720" w:right="720" w:bottom="720" w:left="72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DBDB" w14:textId="77777777" w:rsidR="007C5DE6" w:rsidRDefault="00546A82">
      <w:pPr>
        <w:spacing w:before="0" w:after="0" w:line="240" w:lineRule="auto"/>
      </w:pPr>
      <w:r>
        <w:separator/>
      </w:r>
    </w:p>
    <w:p w14:paraId="4A051DA0" w14:textId="77777777" w:rsidR="007C5DE6" w:rsidRDefault="007C5DE6"/>
  </w:endnote>
  <w:endnote w:type="continuationSeparator" w:id="0">
    <w:p w14:paraId="7687DEF1" w14:textId="77777777" w:rsidR="007C5DE6" w:rsidRDefault="00546A82">
      <w:pPr>
        <w:spacing w:before="0" w:after="0" w:line="240" w:lineRule="auto"/>
      </w:pPr>
      <w:r>
        <w:continuationSeparator/>
      </w:r>
    </w:p>
    <w:p w14:paraId="5580C1BB" w14:textId="77777777" w:rsidR="007C5DE6" w:rsidRDefault="007C5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0F4C" w14:textId="77777777" w:rsidR="007C5DE6" w:rsidRDefault="00546A82">
    <w:pPr>
      <w:pStyle w:val="Footer"/>
      <w:tabs>
        <w:tab w:val="clear" w:pos="4536"/>
        <w:tab w:val="clear" w:pos="9072"/>
      </w:tabs>
      <w:jc w:val="center"/>
    </w:pPr>
    <w:r>
      <w:rPr>
        <w:i/>
      </w:rPr>
      <w:t>Договор за балансиране с потребител</w:t>
    </w:r>
    <w:r>
      <w:rPr>
        <w:i/>
        <w:lang w:val="en-US"/>
      </w:rPr>
      <w:t>/</w:t>
    </w:r>
    <w:r>
      <w:rPr>
        <w:i/>
      </w:rPr>
      <w:t>производител на електрическа енергия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F59FC">
      <w:rPr>
        <w:noProof/>
      </w:rPr>
      <w:t>2</w:t>
    </w:r>
    <w:r>
      <w:rPr>
        <w:noProof/>
      </w:rPr>
      <w:fldChar w:fldCharType="end"/>
    </w:r>
    <w:r>
      <w:rPr>
        <w:lang w:val="en-US"/>
      </w:rPr>
      <w:t>/</w:t>
    </w:r>
    <w:fldSimple w:instr=" NUMPAGES   \* MERGEFORMAT ">
      <w:r w:rsidR="001F59FC" w:rsidRPr="001F59FC">
        <w:rPr>
          <w:noProof/>
          <w:lang w:val="en-US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F1A8" w14:textId="77777777" w:rsidR="007C5DE6" w:rsidRDefault="00546A82">
    <w:pPr>
      <w:pStyle w:val="Footer"/>
      <w:tabs>
        <w:tab w:val="clear" w:pos="4536"/>
        <w:tab w:val="clear" w:pos="9072"/>
      </w:tabs>
      <w:jc w:val="center"/>
      <w:rPr>
        <w:i/>
      </w:rPr>
    </w:pPr>
    <w:r>
      <w:rPr>
        <w:i/>
      </w:rPr>
      <w:t>Договор за балансиране с потребител/производител на електрическа енергия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F59FC">
      <w:rPr>
        <w:noProof/>
      </w:rPr>
      <w:t>1</w:t>
    </w:r>
    <w:r>
      <w:rPr>
        <w:noProof/>
      </w:rPr>
      <w:fldChar w:fldCharType="end"/>
    </w:r>
    <w:r>
      <w:rPr>
        <w:lang w:val="en-US"/>
      </w:rPr>
      <w:t>/</w:t>
    </w:r>
    <w:fldSimple w:instr=" NUMPAGES   \* MERGEFORMAT ">
      <w:r w:rsidR="001F59FC" w:rsidRPr="001F59FC">
        <w:rPr>
          <w:noProof/>
          <w:lang w:val="en-US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B984" w14:textId="77777777" w:rsidR="007C5DE6" w:rsidRDefault="00546A82">
      <w:pPr>
        <w:spacing w:before="0" w:after="0" w:line="240" w:lineRule="auto"/>
      </w:pPr>
      <w:r>
        <w:separator/>
      </w:r>
    </w:p>
    <w:p w14:paraId="6D9AAC88" w14:textId="77777777" w:rsidR="007C5DE6" w:rsidRDefault="007C5DE6"/>
  </w:footnote>
  <w:footnote w:type="continuationSeparator" w:id="0">
    <w:p w14:paraId="7A4EC713" w14:textId="77777777" w:rsidR="007C5DE6" w:rsidRDefault="00546A82">
      <w:pPr>
        <w:spacing w:before="0" w:after="0" w:line="240" w:lineRule="auto"/>
      </w:pPr>
      <w:r>
        <w:continuationSeparator/>
      </w:r>
    </w:p>
    <w:p w14:paraId="3B3812F2" w14:textId="77777777" w:rsidR="007C5DE6" w:rsidRDefault="007C5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915D" w14:textId="77777777" w:rsidR="007C5DE6" w:rsidRDefault="007C5DE6">
    <w:pPr>
      <w:pStyle w:val="Header"/>
      <w:tabs>
        <w:tab w:val="clear" w:pos="4536"/>
        <w:tab w:val="clear" w:pos="9072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B200" w14:textId="77777777" w:rsidR="007C5DE6" w:rsidRDefault="007C5DE6">
    <w:pPr>
      <w:pStyle w:val="Header"/>
      <w:tabs>
        <w:tab w:val="clear" w:pos="4536"/>
        <w:tab w:val="center" w:pos="5720"/>
        <w:tab w:val="right" w:pos="6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3C3"/>
    <w:multiLevelType w:val="multilevel"/>
    <w:tmpl w:val="A2F2A93C"/>
    <w:styleLink w:val="StyleNormativeDoc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66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1BD27A4"/>
    <w:multiLevelType w:val="hybridMultilevel"/>
    <w:tmpl w:val="0BBEF736"/>
    <w:lvl w:ilvl="0" w:tplc="0402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060915"/>
    <w:multiLevelType w:val="hybridMultilevel"/>
    <w:tmpl w:val="E152C35A"/>
    <w:lvl w:ilvl="0" w:tplc="E6CE0F86">
      <w:start w:val="1"/>
      <w:numFmt w:val="decimal"/>
      <w:lvlText w:val="Чл. %1"/>
      <w:lvlJc w:val="left"/>
      <w:pPr>
        <w:tabs>
          <w:tab w:val="num" w:pos="1425"/>
        </w:tabs>
        <w:ind w:left="1425" w:hanging="705"/>
      </w:pPr>
      <w:rPr>
        <w:rFonts w:ascii="Arial" w:hAnsi="Arial" w:cs="Arial" w:hint="default"/>
        <w:b/>
        <w:bCs/>
        <w:iCs w:val="0"/>
        <w:sz w:val="24"/>
        <w:szCs w:val="24"/>
      </w:rPr>
    </w:lvl>
    <w:lvl w:ilvl="1" w:tplc="E2EE59B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bCs/>
        <w:i w:val="0"/>
        <w:iCs w:val="0"/>
        <w:sz w:val="24"/>
        <w:szCs w:val="24"/>
      </w:rPr>
    </w:lvl>
    <w:lvl w:ilvl="2" w:tplc="0402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bCs/>
        <w:iCs w:val="0"/>
        <w:sz w:val="24"/>
        <w:szCs w:val="24"/>
      </w:r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4C02C5A"/>
    <w:multiLevelType w:val="multilevel"/>
    <w:tmpl w:val="7834EDB8"/>
    <w:lvl w:ilvl="0">
      <w:start w:val="1"/>
      <w:numFmt w:val="decimal"/>
      <w:lvlText w:val="7.2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EAB3633"/>
    <w:multiLevelType w:val="multilevel"/>
    <w:tmpl w:val="76BEE2BA"/>
    <w:styleLink w:val="Style2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29EF7F90"/>
    <w:multiLevelType w:val="multilevel"/>
    <w:tmpl w:val="0402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78E75D2"/>
    <w:multiLevelType w:val="hybridMultilevel"/>
    <w:tmpl w:val="F6281248"/>
    <w:lvl w:ilvl="0" w:tplc="4C248E3E">
      <w:start w:val="1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399F45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7B3CB9"/>
    <w:multiLevelType w:val="multilevel"/>
    <w:tmpl w:val="90104D46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Раздел %2"/>
      <w:lvlJc w:val="center"/>
      <w:pPr>
        <w:ind w:left="3544" w:firstLine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 w:val="0"/>
        <w:i w:val="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44413812"/>
    <w:multiLevelType w:val="multilevel"/>
    <w:tmpl w:val="82E64F2E"/>
    <w:lvl w:ilvl="0">
      <w:start w:val="9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A9C0069"/>
    <w:multiLevelType w:val="multilevel"/>
    <w:tmpl w:val="B4B8971A"/>
    <w:styleLink w:val="Style1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52125409"/>
    <w:multiLevelType w:val="multilevel"/>
    <w:tmpl w:val="1032B9CC"/>
    <w:styleLink w:val="Style3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upperRoman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56496B49"/>
    <w:multiLevelType w:val="hybridMultilevel"/>
    <w:tmpl w:val="15C0A40C"/>
    <w:lvl w:ilvl="0" w:tplc="040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3" w15:restartNumberingAfterBreak="0">
    <w:nsid w:val="57D1399E"/>
    <w:multiLevelType w:val="hybridMultilevel"/>
    <w:tmpl w:val="2132C8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C4AC8"/>
    <w:multiLevelType w:val="multilevel"/>
    <w:tmpl w:val="5A525480"/>
    <w:styleLink w:val="Style5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5A7A4FF2"/>
    <w:multiLevelType w:val="hybridMultilevel"/>
    <w:tmpl w:val="949E1C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A6337"/>
    <w:multiLevelType w:val="multilevel"/>
    <w:tmpl w:val="303826F0"/>
    <w:lvl w:ilvl="0">
      <w:start w:val="1"/>
      <w:numFmt w:val="none"/>
      <w:pStyle w:val="Heading1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66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62092E96"/>
    <w:multiLevelType w:val="multilevel"/>
    <w:tmpl w:val="F90E13D8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Heading2"/>
      <w:suff w:val="space"/>
      <w:lvlText w:val="Раздел %2"/>
      <w:lvlJc w:val="center"/>
      <w:pPr>
        <w:ind w:left="3283" w:firstLine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851"/>
        </w:tabs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5.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 w:val="0"/>
        <w:i w:val="0"/>
        <w:sz w:val="20"/>
        <w:szCs w:val="20"/>
      </w:rPr>
    </w:lvl>
    <w:lvl w:ilvl="5">
      <w:start w:val="1"/>
      <w:numFmt w:val="bullet"/>
      <w:pStyle w:val="Heading6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69052106"/>
    <w:multiLevelType w:val="hybridMultilevel"/>
    <w:tmpl w:val="A672DDF2"/>
    <w:lvl w:ilvl="0" w:tplc="F9469B5A">
      <w:start w:val="1"/>
      <w:numFmt w:val="decimal"/>
      <w:lvlText w:val="%1."/>
      <w:lvlJc w:val="left"/>
      <w:pPr>
        <w:ind w:left="153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258" w:hanging="360"/>
      </w:pPr>
    </w:lvl>
    <w:lvl w:ilvl="2" w:tplc="0402001B" w:tentative="1">
      <w:start w:val="1"/>
      <w:numFmt w:val="lowerRoman"/>
      <w:lvlText w:val="%3."/>
      <w:lvlJc w:val="right"/>
      <w:pPr>
        <w:ind w:left="2978" w:hanging="180"/>
      </w:pPr>
    </w:lvl>
    <w:lvl w:ilvl="3" w:tplc="0402000F" w:tentative="1">
      <w:start w:val="1"/>
      <w:numFmt w:val="decimal"/>
      <w:lvlText w:val="%4."/>
      <w:lvlJc w:val="left"/>
      <w:pPr>
        <w:ind w:left="3698" w:hanging="360"/>
      </w:pPr>
    </w:lvl>
    <w:lvl w:ilvl="4" w:tplc="04020019" w:tentative="1">
      <w:start w:val="1"/>
      <w:numFmt w:val="lowerLetter"/>
      <w:lvlText w:val="%5."/>
      <w:lvlJc w:val="left"/>
      <w:pPr>
        <w:ind w:left="4418" w:hanging="360"/>
      </w:pPr>
    </w:lvl>
    <w:lvl w:ilvl="5" w:tplc="0402001B" w:tentative="1">
      <w:start w:val="1"/>
      <w:numFmt w:val="lowerRoman"/>
      <w:lvlText w:val="%6."/>
      <w:lvlJc w:val="right"/>
      <w:pPr>
        <w:ind w:left="5138" w:hanging="180"/>
      </w:pPr>
    </w:lvl>
    <w:lvl w:ilvl="6" w:tplc="0402000F" w:tentative="1">
      <w:start w:val="1"/>
      <w:numFmt w:val="decimal"/>
      <w:lvlText w:val="%7."/>
      <w:lvlJc w:val="left"/>
      <w:pPr>
        <w:ind w:left="5858" w:hanging="360"/>
      </w:pPr>
    </w:lvl>
    <w:lvl w:ilvl="7" w:tplc="04020019" w:tentative="1">
      <w:start w:val="1"/>
      <w:numFmt w:val="lowerLetter"/>
      <w:lvlText w:val="%8."/>
      <w:lvlJc w:val="left"/>
      <w:pPr>
        <w:ind w:left="6578" w:hanging="360"/>
      </w:pPr>
    </w:lvl>
    <w:lvl w:ilvl="8" w:tplc="0402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9" w15:restartNumberingAfterBreak="0">
    <w:nsid w:val="7C214E8F"/>
    <w:multiLevelType w:val="multilevel"/>
    <w:tmpl w:val="2C5A0686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EDD2D81"/>
    <w:multiLevelType w:val="hybridMultilevel"/>
    <w:tmpl w:val="6FB87516"/>
    <w:lvl w:ilvl="0" w:tplc="0402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7F0F2C98"/>
    <w:multiLevelType w:val="hybridMultilevel"/>
    <w:tmpl w:val="A3B0027A"/>
    <w:lvl w:ilvl="0" w:tplc="67105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6856814">
    <w:abstractNumId w:val="0"/>
  </w:num>
  <w:num w:numId="2" w16cid:durableId="441344158">
    <w:abstractNumId w:val="16"/>
  </w:num>
  <w:num w:numId="3" w16cid:durableId="1822038112">
    <w:abstractNumId w:val="10"/>
  </w:num>
  <w:num w:numId="4" w16cid:durableId="2016111806">
    <w:abstractNumId w:val="4"/>
  </w:num>
  <w:num w:numId="5" w16cid:durableId="521280661">
    <w:abstractNumId w:val="11"/>
  </w:num>
  <w:num w:numId="6" w16cid:durableId="186870218">
    <w:abstractNumId w:val="5"/>
  </w:num>
  <w:num w:numId="7" w16cid:durableId="769203426">
    <w:abstractNumId w:val="14"/>
  </w:num>
  <w:num w:numId="8" w16cid:durableId="1308629016">
    <w:abstractNumId w:val="17"/>
  </w:num>
  <w:num w:numId="9" w16cid:durableId="4457344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83945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40772">
    <w:abstractNumId w:val="17"/>
  </w:num>
  <w:num w:numId="12" w16cid:durableId="335156167">
    <w:abstractNumId w:val="6"/>
  </w:num>
  <w:num w:numId="13" w16cid:durableId="1824157267">
    <w:abstractNumId w:val="12"/>
  </w:num>
  <w:num w:numId="14" w16cid:durableId="793909516">
    <w:abstractNumId w:val="1"/>
  </w:num>
  <w:num w:numId="15" w16cid:durableId="2096776681">
    <w:abstractNumId w:val="7"/>
  </w:num>
  <w:num w:numId="16" w16cid:durableId="1736124484">
    <w:abstractNumId w:val="3"/>
  </w:num>
  <w:num w:numId="17" w16cid:durableId="1988170227">
    <w:abstractNumId w:val="2"/>
  </w:num>
  <w:num w:numId="18" w16cid:durableId="727529542">
    <w:abstractNumId w:val="8"/>
  </w:num>
  <w:num w:numId="19" w16cid:durableId="1947031406">
    <w:abstractNumId w:val="20"/>
  </w:num>
  <w:num w:numId="20" w16cid:durableId="1444768862">
    <w:abstractNumId w:val="17"/>
  </w:num>
  <w:num w:numId="21" w16cid:durableId="1489050727">
    <w:abstractNumId w:val="15"/>
  </w:num>
  <w:num w:numId="22" w16cid:durableId="632904656">
    <w:abstractNumId w:val="13"/>
  </w:num>
  <w:num w:numId="23" w16cid:durableId="691760349">
    <w:abstractNumId w:val="21"/>
  </w:num>
  <w:num w:numId="24" w16cid:durableId="722406071">
    <w:abstractNumId w:val="19"/>
  </w:num>
  <w:num w:numId="25" w16cid:durableId="38357374">
    <w:abstractNumId w:val="9"/>
  </w:num>
  <w:num w:numId="26" w16cid:durableId="191674076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5DE6"/>
    <w:rsid w:val="001F59FC"/>
    <w:rsid w:val="00214284"/>
    <w:rsid w:val="003C6DBC"/>
    <w:rsid w:val="00546A82"/>
    <w:rsid w:val="005D16B9"/>
    <w:rsid w:val="006E4519"/>
    <w:rsid w:val="007C5DE6"/>
    <w:rsid w:val="00B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2FFA88"/>
  <w15:docId w15:val="{3BB5B565-1A2B-4881-8CB1-24E4808B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keepLines/>
      <w:numPr>
        <w:numId w:val="2"/>
      </w:numPr>
      <w:spacing w:before="480" w:after="240"/>
      <w:jc w:val="center"/>
      <w:outlineLvl w:val="0"/>
    </w:pPr>
    <w:rPr>
      <w:rFonts w:eastAsia="Times New Roman"/>
      <w:b/>
      <w:bCs/>
      <w:smallCaps/>
      <w:spacing w:val="20"/>
      <w:sz w:val="24"/>
      <w:szCs w:val="24"/>
    </w:rPr>
  </w:style>
  <w:style w:type="paragraph" w:styleId="Heading2">
    <w:name w:val="heading 2"/>
    <w:basedOn w:val="Normal"/>
    <w:next w:val="Normal"/>
    <w:link w:val="Heading2Char1"/>
    <w:autoRedefine/>
    <w:uiPriority w:val="99"/>
    <w:qFormat/>
    <w:pPr>
      <w:keepNext/>
      <w:keepLines/>
      <w:numPr>
        <w:ilvl w:val="1"/>
        <w:numId w:val="11"/>
      </w:numPr>
      <w:spacing w:before="240"/>
      <w:ind w:left="0" w:firstLine="0"/>
      <w:jc w:val="center"/>
      <w:outlineLvl w:val="1"/>
    </w:pPr>
    <w:rPr>
      <w:rFonts w:eastAsia="Times New Roman"/>
      <w:b/>
      <w:bCs/>
      <w:szCs w:val="26"/>
      <w:lang w:eastAsia="bg-BG"/>
    </w:rPr>
  </w:style>
  <w:style w:type="paragraph" w:styleId="Heading3">
    <w:name w:val="heading 3"/>
    <w:basedOn w:val="Normal"/>
    <w:next w:val="Normal"/>
    <w:link w:val="Heading3Char1"/>
    <w:autoRedefine/>
    <w:uiPriority w:val="99"/>
    <w:qFormat/>
    <w:pPr>
      <w:numPr>
        <w:ilvl w:val="2"/>
        <w:numId w:val="11"/>
      </w:numPr>
      <w:outlineLvl w:val="2"/>
    </w:pPr>
    <w:rPr>
      <w:rFonts w:eastAsia="Times New Roman"/>
      <w:bCs/>
      <w:lang w:eastAsia="bg-BG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Lines/>
      <w:numPr>
        <w:ilvl w:val="3"/>
        <w:numId w:val="11"/>
      </w:numPr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next w:val="Normal"/>
    <w:link w:val="Heading5Char1"/>
    <w:uiPriority w:val="99"/>
    <w:qFormat/>
    <w:pPr>
      <w:keepLines/>
      <w:numPr>
        <w:ilvl w:val="4"/>
        <w:numId w:val="11"/>
      </w:numPr>
      <w:spacing w:before="60" w:after="6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Lines/>
      <w:numPr>
        <w:ilvl w:val="5"/>
        <w:numId w:val="11"/>
      </w:numPr>
      <w:outlineLvl w:val="5"/>
    </w:pPr>
    <w:rPr>
      <w:rFonts w:eastAsia="Times New Roman"/>
      <w:iCs/>
    </w:rPr>
  </w:style>
  <w:style w:type="paragraph" w:styleId="Heading7">
    <w:name w:val="heading 7"/>
    <w:basedOn w:val="Normal"/>
    <w:next w:val="Normal"/>
    <w:link w:val="Heading7Char2"/>
    <w:uiPriority w:val="99"/>
    <w:qFormat/>
    <w:pPr>
      <w:keepNext/>
      <w:keepLines/>
      <w:spacing w:before="200" w:after="0"/>
      <w:outlineLvl w:val="6"/>
    </w:pPr>
    <w:rPr>
      <w:rFonts w:ascii="Times New Roman" w:eastAsia="Times New Roman" w:hAnsi="Times New Roman"/>
      <w:iCs/>
      <w:color w:val="0D0D0D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smallCaps/>
      <w:spacing w:val="20"/>
      <w:sz w:val="24"/>
      <w:lang w:eastAsia="en-US"/>
    </w:rPr>
  </w:style>
  <w:style w:type="character" w:customStyle="1" w:styleId="Heading2Char">
    <w:name w:val="Heading 2 Char"/>
    <w:uiPriority w:val="99"/>
    <w:semiHidden/>
    <w:rPr>
      <w:rFonts w:ascii="Cambria" w:hAnsi="Cambria"/>
      <w:b/>
      <w:color w:val="4F81BD"/>
      <w:sz w:val="26"/>
    </w:rPr>
  </w:style>
  <w:style w:type="character" w:customStyle="1" w:styleId="Heading3Char">
    <w:name w:val="Heading 3 Char"/>
    <w:uiPriority w:val="99"/>
    <w:semiHidden/>
    <w:rPr>
      <w:rFonts w:ascii="Cambria" w:hAnsi="Cambria"/>
      <w:b/>
      <w:color w:val="4F81BD"/>
    </w:rPr>
  </w:style>
  <w:style w:type="character" w:customStyle="1" w:styleId="Heading4Char">
    <w:name w:val="Heading 4 Char"/>
    <w:uiPriority w:val="99"/>
    <w:semiHidden/>
    <w:rPr>
      <w:rFonts w:ascii="Cambria" w:hAnsi="Cambria"/>
      <w:b/>
      <w:i/>
      <w:color w:val="4F81BD"/>
    </w:rPr>
  </w:style>
  <w:style w:type="character" w:customStyle="1" w:styleId="Heading5Char">
    <w:name w:val="Heading 5 Char"/>
    <w:uiPriority w:val="99"/>
    <w:semiHidden/>
    <w:rPr>
      <w:rFonts w:ascii="Cambria" w:hAnsi="Cambria"/>
      <w:color w:val="243F60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sz w:val="22"/>
      <w:lang w:eastAsia="en-US"/>
    </w:rPr>
  </w:style>
  <w:style w:type="character" w:customStyle="1" w:styleId="Heading7Char">
    <w:name w:val="Heading 7 Char"/>
    <w:uiPriority w:val="99"/>
    <w:semiHidden/>
    <w:rPr>
      <w:rFonts w:ascii="Cambria" w:hAnsi="Cambria"/>
      <w:i/>
      <w:color w:val="404040"/>
    </w:rPr>
  </w:style>
  <w:style w:type="character" w:customStyle="1" w:styleId="Heading2Char1">
    <w:name w:val="Heading 2 Char1"/>
    <w:link w:val="Heading2"/>
    <w:uiPriority w:val="99"/>
    <w:locked/>
    <w:rPr>
      <w:rFonts w:ascii="Arial" w:hAnsi="Arial"/>
      <w:b/>
      <w:sz w:val="26"/>
    </w:rPr>
  </w:style>
  <w:style w:type="character" w:customStyle="1" w:styleId="Heading3Char1">
    <w:name w:val="Heading 3 Char1"/>
    <w:link w:val="Heading3"/>
    <w:uiPriority w:val="99"/>
    <w:locked/>
    <w:rPr>
      <w:rFonts w:ascii="Arial" w:eastAsia="Times New Roman" w:hAnsi="Arial"/>
      <w:bCs/>
      <w:sz w:val="22"/>
      <w:szCs w:val="22"/>
    </w:rPr>
  </w:style>
  <w:style w:type="character" w:customStyle="1" w:styleId="Heading4Char1">
    <w:name w:val="Heading 4 Char1"/>
    <w:link w:val="Heading4"/>
    <w:uiPriority w:val="99"/>
    <w:locked/>
    <w:rPr>
      <w:rFonts w:ascii="Arial" w:hAnsi="Arial"/>
      <w:sz w:val="22"/>
      <w:lang w:eastAsia="en-US"/>
    </w:rPr>
  </w:style>
  <w:style w:type="character" w:customStyle="1" w:styleId="Heading5Char1">
    <w:name w:val="Heading 5 Char1"/>
    <w:link w:val="Heading5"/>
    <w:uiPriority w:val="99"/>
    <w:locked/>
    <w:rPr>
      <w:rFonts w:ascii="Arial" w:hAnsi="Arial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240" w:after="240"/>
      <w:contextualSpacing/>
      <w:jc w:val="center"/>
    </w:pPr>
    <w:rPr>
      <w:rFonts w:ascii="Tahoma" w:eastAsia="Times New Roman" w:hAnsi="Tahoma"/>
      <w:b/>
      <w:spacing w:val="5"/>
      <w:kern w:val="28"/>
      <w:sz w:val="40"/>
      <w:szCs w:val="52"/>
      <w:lang w:eastAsia="bg-BG"/>
    </w:rPr>
  </w:style>
  <w:style w:type="character" w:customStyle="1" w:styleId="TitleChar">
    <w:name w:val="Title Char"/>
    <w:link w:val="Title"/>
    <w:uiPriority w:val="99"/>
    <w:locked/>
    <w:rPr>
      <w:rFonts w:ascii="Tahoma" w:hAnsi="Tahoma"/>
      <w:b/>
      <w:spacing w:val="5"/>
      <w:kern w:val="28"/>
      <w:sz w:val="52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pPr>
      <w:spacing w:before="0" w:after="0"/>
    </w:pPr>
    <w:rPr>
      <w:rFonts w:ascii="Tahoma" w:hAnsi="Tahoma"/>
      <w:sz w:val="16"/>
      <w:szCs w:val="16"/>
      <w:lang w:eastAsia="bg-BG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eastAsia="Times New Roman" w:hAnsi="Tahoma"/>
      <w:sz w:val="16"/>
    </w:rPr>
  </w:style>
  <w:style w:type="character" w:styleId="CommentReference">
    <w:name w:val="annotation reference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Pr>
      <w:rFonts w:ascii="Times New Roman" w:hAnsi="Times New Roman"/>
      <w:sz w:val="20"/>
      <w:szCs w:val="20"/>
      <w:lang w:eastAsia="bg-BG"/>
    </w:rPr>
  </w:style>
  <w:style w:type="character" w:customStyle="1" w:styleId="CommentTextChar">
    <w:name w:val="Comment Text Char"/>
    <w:link w:val="CommentText"/>
    <w:uiPriority w:val="99"/>
    <w:locked/>
    <w:rPr>
      <w:rFonts w:ascii="Times New Roman" w:eastAsia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Times New Roman" w:eastAsia="Times New Roman" w:hAnsi="Times New Roman"/>
      <w:b/>
      <w:sz w:val="20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before="60" w:after="60"/>
    </w:pPr>
    <w:rPr>
      <w:sz w:val="20"/>
      <w:szCs w:val="20"/>
      <w:lang w:eastAsia="bg-BG"/>
    </w:rPr>
  </w:style>
  <w:style w:type="character" w:customStyle="1" w:styleId="FooterChar">
    <w:name w:val="Footer Char"/>
    <w:link w:val="Footer"/>
    <w:uiPriority w:val="99"/>
    <w:locked/>
    <w:rPr>
      <w:rFonts w:ascii="Arial" w:eastAsia="Times New Roman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before="60" w:after="60"/>
    </w:pPr>
    <w:rPr>
      <w:sz w:val="20"/>
      <w:szCs w:val="20"/>
      <w:lang w:eastAsia="bg-BG"/>
    </w:rPr>
  </w:style>
  <w:style w:type="character" w:customStyle="1" w:styleId="HeaderChar">
    <w:name w:val="Header Char"/>
    <w:link w:val="Header"/>
    <w:uiPriority w:val="99"/>
    <w:locked/>
    <w:rPr>
      <w:rFonts w:ascii="Arial" w:eastAsia="Times New Roman" w:hAnsi="Arial"/>
    </w:rPr>
  </w:style>
  <w:style w:type="character" w:customStyle="1" w:styleId="Heading7Char1">
    <w:name w:val="Heading 7 Char1"/>
    <w:uiPriority w:val="99"/>
    <w:semiHidden/>
    <w:rPr>
      <w:rFonts w:ascii="Cambria" w:hAnsi="Cambria"/>
      <w:i/>
      <w:color w:val="404040"/>
    </w:rPr>
  </w:style>
  <w:style w:type="character" w:customStyle="1" w:styleId="Heading8Char">
    <w:name w:val="Heading 8 Char"/>
    <w:uiPriority w:val="99"/>
    <w:semiHidden/>
    <w:rPr>
      <w:rFonts w:ascii="Cambria" w:hAnsi="Cambria"/>
      <w:color w:val="404040"/>
      <w:sz w:val="20"/>
    </w:rPr>
  </w:style>
  <w:style w:type="character" w:customStyle="1" w:styleId="Heading8Char1">
    <w:name w:val="Heading 8 Char1"/>
    <w:uiPriority w:val="99"/>
    <w:semiHidden/>
    <w:rPr>
      <w:rFonts w:ascii="Cambria" w:hAnsi="Cambria"/>
      <w:color w:val="404040"/>
      <w:sz w:val="20"/>
    </w:rPr>
  </w:style>
  <w:style w:type="character" w:customStyle="1" w:styleId="Heading9Char">
    <w:name w:val="Heading 9 Char"/>
    <w:uiPriority w:val="99"/>
    <w:semiHidden/>
    <w:rPr>
      <w:rFonts w:ascii="Cambria" w:hAnsi="Cambria"/>
      <w:i/>
      <w:color w:val="404040"/>
      <w:sz w:val="20"/>
    </w:rPr>
  </w:style>
  <w:style w:type="character" w:customStyle="1" w:styleId="Heading9Char1">
    <w:name w:val="Heading 9 Char1"/>
    <w:uiPriority w:val="99"/>
    <w:semiHidden/>
    <w:rPr>
      <w:rFonts w:ascii="Cambria" w:hAnsi="Cambria"/>
      <w:i/>
      <w:color w:val="404040"/>
      <w:sz w:val="2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IntenseEmphasis">
    <w:name w:val="Intense Emphasis"/>
    <w:uiPriority w:val="99"/>
    <w:qFormat/>
    <w:rPr>
      <w:b/>
      <w:i/>
      <w:color w:val="4F81BD"/>
    </w:rPr>
  </w:style>
  <w:style w:type="paragraph" w:styleId="NoSpacing">
    <w:name w:val="No Spacing"/>
    <w:link w:val="NoSpacingChar"/>
    <w:uiPriority w:val="99"/>
    <w:qFormat/>
    <w:rPr>
      <w:rFonts w:ascii="Arial" w:eastAsia="Times New Roman" w:hAnsi="Arial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99"/>
    <w:qFormat/>
    <w:rPr>
      <w:rFonts w:ascii="Times New Roman" w:hAnsi="Times New Roman"/>
      <w:i/>
      <w:iCs/>
      <w:color w:val="000000"/>
      <w:sz w:val="20"/>
      <w:szCs w:val="20"/>
      <w:lang w:eastAsia="bg-BG"/>
    </w:rPr>
  </w:style>
  <w:style w:type="character" w:customStyle="1" w:styleId="QuoteChar">
    <w:name w:val="Quote Char"/>
    <w:link w:val="Quote"/>
    <w:uiPriority w:val="99"/>
    <w:locked/>
    <w:rPr>
      <w:rFonts w:ascii="Times New Roman" w:eastAsia="Times New Roman" w:hAnsi="Times New Roman"/>
      <w:i/>
      <w:color w:val="000000"/>
    </w:rPr>
  </w:style>
  <w:style w:type="character" w:styleId="Strong">
    <w:name w:val="Strong"/>
    <w:uiPriority w:val="99"/>
    <w:qFormat/>
    <w:rPr>
      <w:rFonts w:cs="Times New Roman"/>
      <w:b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bg-BG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/>
      <w:i/>
      <w:color w:val="4F81BD"/>
      <w:spacing w:val="15"/>
      <w:sz w:val="24"/>
    </w:rPr>
  </w:style>
  <w:style w:type="character" w:styleId="SubtleEmphasis">
    <w:name w:val="Subtle Emphasis"/>
    <w:uiPriority w:val="99"/>
    <w:qFormat/>
    <w:rPr>
      <w:i/>
      <w:color w:val="808080"/>
    </w:rPr>
  </w:style>
  <w:style w:type="paragraph" w:styleId="TOC1">
    <w:name w:val="toc 1"/>
    <w:basedOn w:val="Normal"/>
    <w:next w:val="Normal"/>
    <w:autoRedefine/>
    <w:uiPriority w:val="99"/>
    <w:pPr>
      <w:spacing w:after="100"/>
    </w:pPr>
  </w:style>
  <w:style w:type="paragraph" w:styleId="TOC2">
    <w:name w:val="toc 2"/>
    <w:basedOn w:val="Normal"/>
    <w:next w:val="Normal"/>
    <w:autoRedefine/>
    <w:uiPriority w:val="99"/>
    <w:pPr>
      <w:tabs>
        <w:tab w:val="right" w:leader="dot" w:pos="9344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qFormat/>
    <w:pPr>
      <w:numPr>
        <w:numId w:val="0"/>
      </w:numPr>
      <w:spacing w:after="0"/>
      <w:jc w:val="left"/>
      <w:outlineLvl w:val="9"/>
    </w:pPr>
    <w:rPr>
      <w:rFonts w:ascii="Cambria" w:hAnsi="Cambria"/>
      <w:color w:val="365F91"/>
      <w:sz w:val="28"/>
      <w:lang w:val="en-US"/>
    </w:rPr>
  </w:style>
  <w:style w:type="paragraph" w:styleId="Caption">
    <w:name w:val="caption"/>
    <w:basedOn w:val="Normal"/>
    <w:next w:val="Normal"/>
    <w:uiPriority w:val="99"/>
    <w:qFormat/>
    <w:pPr>
      <w:tabs>
        <w:tab w:val="left" w:pos="1985"/>
      </w:tabs>
      <w:spacing w:before="60" w:after="60"/>
      <w:ind w:left="1985" w:hanging="1985"/>
    </w:pPr>
    <w:rPr>
      <w:bCs/>
      <w:szCs w:val="18"/>
    </w:rPr>
  </w:style>
  <w:style w:type="paragraph" w:styleId="TableofFigures">
    <w:name w:val="table of figures"/>
    <w:basedOn w:val="Normal"/>
    <w:next w:val="Normal"/>
    <w:uiPriority w:val="99"/>
    <w:pPr>
      <w:spacing w:after="0"/>
    </w:pPr>
  </w:style>
  <w:style w:type="character" w:customStyle="1" w:styleId="Heading7Char2">
    <w:name w:val="Heading 7 Char2"/>
    <w:link w:val="Heading7"/>
    <w:uiPriority w:val="99"/>
    <w:locked/>
    <w:rPr>
      <w:rFonts w:ascii="Times New Roman" w:hAnsi="Times New Roman"/>
      <w:color w:val="0D0D0D"/>
      <w:sz w:val="2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NoSpacingChar">
    <w:name w:val="No Spacing Char"/>
    <w:link w:val="NoSpacing"/>
    <w:uiPriority w:val="99"/>
    <w:locked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Pr>
      <w:rFonts w:ascii="Arial" w:hAnsi="Arial"/>
      <w:sz w:val="22"/>
      <w:szCs w:val="22"/>
      <w:lang w:eastAsia="en-US"/>
    </w:rPr>
  </w:style>
  <w:style w:type="numbering" w:customStyle="1" w:styleId="StyleNormativeDoc">
    <w:name w:val="Style Normative Doc"/>
    <w:pPr>
      <w:numPr>
        <w:numId w:val="1"/>
      </w:numPr>
    </w:pPr>
  </w:style>
  <w:style w:type="numbering" w:customStyle="1" w:styleId="Style2">
    <w:name w:val="Style2"/>
    <w:pPr>
      <w:numPr>
        <w:numId w:val="4"/>
      </w:numPr>
    </w:pPr>
  </w:style>
  <w:style w:type="numbering" w:customStyle="1" w:styleId="Style4">
    <w:name w:val="Style4"/>
    <w:pPr>
      <w:numPr>
        <w:numId w:val="6"/>
      </w:numPr>
    </w:pPr>
  </w:style>
  <w:style w:type="numbering" w:customStyle="1" w:styleId="Style1">
    <w:name w:val="Style1"/>
    <w:pPr>
      <w:numPr>
        <w:numId w:val="3"/>
      </w:numPr>
    </w:pPr>
  </w:style>
  <w:style w:type="numbering" w:customStyle="1" w:styleId="Style3">
    <w:name w:val="Style3"/>
    <w:pPr>
      <w:numPr>
        <w:numId w:val="5"/>
      </w:numPr>
    </w:pPr>
  </w:style>
  <w:style w:type="numbering" w:customStyle="1" w:styleId="Style5">
    <w:name w:val="Style5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eso@es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o@eso.bg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за балансиране</vt:lpstr>
    </vt:vector>
  </TitlesOfParts>
  <Manager>Иван Йотов</Manager>
  <Company>„ЕЛЕКТРОЕНЕРГИЕН СИСТЕМЕН ОПЕРАТОР“ ЕАД</Company>
  <LinksUpToDate>false</LinksUpToDate>
  <CharactersWithSpaces>25747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балансиране</dc:title>
  <dc:subject>Договор</dc:subject>
  <dc:creator>Atanas Dimov</dc:creator>
  <cp:keywords>Договор за балансиране на производител/потребител</cp:keywords>
  <dc:description/>
  <cp:lastModifiedBy>Стефан Орлинов Качаков</cp:lastModifiedBy>
  <cp:revision>25</cp:revision>
  <cp:lastPrinted>2019-03-14T12:16:00Z</cp:lastPrinted>
  <dcterms:created xsi:type="dcterms:W3CDTF">2019-02-27T10:37:00Z</dcterms:created>
  <dcterms:modified xsi:type="dcterms:W3CDTF">2026-01-05T12:27:00Z</dcterms:modified>
  <cp:category>Договори</cp:category>
</cp:coreProperties>
</file>