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28"/>
          <w:szCs w:val="28"/>
          <w:lang w:val="ru-RU"/>
        </w:rPr>
      </w:pPr>
      <w:r>
        <w:rPr>
          <w:b/>
          <w:sz w:val="28"/>
          <w:szCs w:val="28"/>
        </w:rPr>
        <w:t>Д О Г О В О Р</w:t>
      </w:r>
    </w:p>
    <w:p>
      <w:pPr>
        <w:jc w:val="center"/>
        <w:rPr>
          <w:b/>
          <w:sz w:val="28"/>
          <w:szCs w:val="28"/>
          <w:lang w:val="ru-RU"/>
        </w:rPr>
      </w:pPr>
    </w:p>
    <w:p>
      <w:pPr>
        <w:jc w:val="center"/>
      </w:pPr>
      <w:r>
        <w:t>.............2015 г.</w:t>
      </w:r>
    </w:p>
    <w:p>
      <w:pPr>
        <w:jc w:val="center"/>
      </w:pPr>
    </w:p>
    <w:p>
      <w:pPr>
        <w:jc w:val="center"/>
      </w:pPr>
      <w:r>
        <w:t xml:space="preserve">за продажба на Студен резерв </w:t>
      </w:r>
    </w:p>
    <w:p>
      <w:pPr>
        <w:jc w:val="center"/>
      </w:pPr>
    </w:p>
    <w:p>
      <w:pPr>
        <w:jc w:val="both"/>
      </w:pPr>
      <w:r>
        <w:t>С цел постигане на сигурно, безопасно и ефективно функциониране на електроенергийната система на Република България и на основание на чл. 105</w:t>
      </w:r>
      <w:r>
        <w:rPr>
          <w:lang w:val="ru-RU"/>
        </w:rPr>
        <w:t xml:space="preserve">, </w:t>
      </w:r>
      <w:r>
        <w:t>ал. 1 от Закона за енергетиката, днес, ..............2015 г., в гр. София беше сключен този договор между:</w:t>
      </w:r>
    </w:p>
    <w:p>
      <w:pPr>
        <w:jc w:val="both"/>
        <w:rPr>
          <w:b/>
        </w:rPr>
      </w:pPr>
    </w:p>
    <w:p>
      <w:pPr>
        <w:jc w:val="both"/>
      </w:pPr>
      <w:r>
        <w:rPr>
          <w:b/>
        </w:rPr>
        <w:t>“………...............................”</w:t>
      </w:r>
      <w:r>
        <w:t xml:space="preserve"> регистрирано в Търговския регистър към Агенцията по вписванията, ЕИК ……………, със седалище и адрес на управление ……………, представлявано от …………….  – изпълнителен директор, наричано по-долу за краткост ДОСТАВЧИК от една страна </w:t>
      </w:r>
    </w:p>
    <w:p>
      <w:pPr>
        <w:jc w:val="both"/>
      </w:pPr>
    </w:p>
    <w:p>
      <w:pPr>
        <w:jc w:val="both"/>
      </w:pPr>
      <w:r>
        <w:t>и</w:t>
      </w:r>
    </w:p>
    <w:p>
      <w:pPr>
        <w:jc w:val="both"/>
      </w:pPr>
    </w:p>
    <w:p>
      <w:pPr>
        <w:jc w:val="both"/>
      </w:pPr>
      <w:r>
        <w:rPr>
          <w:b/>
        </w:rPr>
        <w:t>„EЛЕКТРОЕНЕРГИЕН СИСТЕМЕН ОПЕРАТОР” ЕАД,</w:t>
      </w:r>
      <w:r>
        <w:t xml:space="preserve"> регистрирано в Търговския регистър към Агенцията по вписванията, ЕИК 175201304, със седалище и адрес на управление София, бул. </w:t>
      </w:r>
      <w:r>
        <w:rPr>
          <w:lang w:val="ru-RU"/>
        </w:rPr>
        <w:t>“</w:t>
      </w:r>
      <w:r>
        <w:t>Гоце Делчев</w:t>
      </w:r>
      <w:r>
        <w:rPr>
          <w:lang w:val="ru-RU"/>
        </w:rPr>
        <w:t>” №</w:t>
      </w:r>
      <w:r>
        <w:t>105, представлявано от Иван Йотов, изпълнителен директор, наричано по-долу за краткост ОПЕРАТОР.</w:t>
      </w:r>
    </w:p>
    <w:p>
      <w:pPr>
        <w:jc w:val="both"/>
      </w:pPr>
    </w:p>
    <w:p>
      <w:pPr>
        <w:pStyle w:val="Heading3"/>
        <w:keepNext w:val="0"/>
        <w:keepLines/>
        <w:spacing w:before="120" w:after="0" w:line="264" w:lineRule="auto"/>
        <w:ind w:firstLine="709"/>
        <w:rPr>
          <w:b/>
        </w:rPr>
      </w:pPr>
      <w:r>
        <w:rPr>
          <w:b/>
        </w:rPr>
        <w:t>1. СРОК НА ДОГОВОРА</w:t>
      </w:r>
    </w:p>
    <w:p>
      <w:pPr>
        <w:pStyle w:val="Heading3"/>
        <w:keepNext w:val="0"/>
        <w:keepLines/>
        <w:spacing w:before="120" w:after="120" w:line="264" w:lineRule="auto"/>
        <w:jc w:val="both"/>
      </w:pPr>
      <w:r>
        <w:rPr>
          <w:b/>
        </w:rPr>
        <w:t>Чл.1</w:t>
      </w:r>
      <w:r>
        <w:t xml:space="preserve"> </w:t>
      </w:r>
    </w:p>
    <w:p>
      <w:pPr>
        <w:widowControl w:val="0"/>
        <w:suppressAutoHyphens/>
        <w:spacing w:before="60" w:after="60"/>
        <w:jc w:val="both"/>
        <w:rPr>
          <w:b/>
        </w:rPr>
      </w:pPr>
      <w:r>
        <w:t xml:space="preserve">Договорът е със срок на действие </w:t>
      </w:r>
      <w:r>
        <w:rPr>
          <w:lang w:val="ru-RU"/>
        </w:rPr>
        <w:t>от 00</w:t>
      </w:r>
      <w:r>
        <w:t xml:space="preserve">:00 часа на ………………………..г. </w:t>
      </w:r>
      <w:r>
        <w:rPr>
          <w:lang w:val="ru-RU"/>
        </w:rPr>
        <w:t xml:space="preserve">до 24:00 </w:t>
      </w:r>
      <w:r>
        <w:t>часа на ………………………г.</w:t>
      </w:r>
    </w:p>
    <w:p>
      <w:pPr>
        <w:jc w:val="both"/>
      </w:pPr>
    </w:p>
    <w:p>
      <w:pPr>
        <w:ind w:firstLine="709"/>
        <w:jc w:val="both"/>
        <w:rPr>
          <w:b/>
        </w:rPr>
      </w:pPr>
      <w:r>
        <w:rPr>
          <w:b/>
        </w:rPr>
        <w:t>2. ПРЕДМЕТ НА ДОГОВОРА</w:t>
      </w:r>
    </w:p>
    <w:p>
      <w:pPr>
        <w:pStyle w:val="Heading4"/>
        <w:keepNext w:val="0"/>
        <w:keepLines/>
        <w:tabs>
          <w:tab w:val="num" w:pos="851"/>
        </w:tabs>
        <w:spacing w:before="60" w:line="264" w:lineRule="auto"/>
        <w:jc w:val="both"/>
      </w:pPr>
      <w:r>
        <w:rPr>
          <w:b/>
        </w:rPr>
        <w:t>Чл.2</w:t>
      </w:r>
      <w:r>
        <w:t xml:space="preserve"> </w:t>
      </w:r>
    </w:p>
    <w:p>
      <w:pPr>
        <w:pStyle w:val="Heading4"/>
        <w:keepNext w:val="0"/>
        <w:keepLines/>
        <w:numPr>
          <w:ilvl w:val="0"/>
          <w:numId w:val="47"/>
        </w:numPr>
        <w:spacing w:before="60" w:line="264" w:lineRule="auto"/>
        <w:jc w:val="both"/>
        <w:rPr>
          <w:lang w:val="ru-RU"/>
        </w:rPr>
      </w:pPr>
      <w:r>
        <w:t>ДОСТАВЧИКЪТ продава, а ОПЕРАТОРЪТ купува действителната нетна разполагаемост на договорената  активна мощност за Студен резерв на енергийни блокове на централата съгласно посоченото в Приложение 1.</w:t>
      </w:r>
    </w:p>
    <w:p>
      <w:pPr>
        <w:pStyle w:val="Heading4"/>
        <w:keepNext w:val="0"/>
        <w:keepLines/>
        <w:numPr>
          <w:ilvl w:val="0"/>
          <w:numId w:val="47"/>
        </w:numPr>
        <w:spacing w:before="60" w:line="264" w:lineRule="auto"/>
        <w:jc w:val="both"/>
      </w:pPr>
      <w:r>
        <w:t>Приложение 1 е изготвено въз основа на решението за класиране и тръжното предложение на ДОСТАВЧИКА, което представлява неразделна част от този договор – Приложение 5.</w:t>
      </w:r>
    </w:p>
    <w:p>
      <w:pPr>
        <w:pStyle w:val="Heading4"/>
        <w:keepNext w:val="0"/>
        <w:keepLines/>
        <w:numPr>
          <w:ilvl w:val="0"/>
          <w:numId w:val="47"/>
        </w:numPr>
        <w:spacing w:before="60" w:line="264" w:lineRule="auto"/>
        <w:jc w:val="both"/>
      </w:pPr>
      <w:r>
        <w:t>При противоречие между информацията в Приложение 1 и тази, посочена от участника в Приложение 5, валидно е Приложение 1.</w:t>
      </w:r>
    </w:p>
    <w:p>
      <w:pPr>
        <w:jc w:val="both"/>
      </w:pPr>
    </w:p>
    <w:p>
      <w:pPr>
        <w:ind w:firstLine="709"/>
        <w:jc w:val="both"/>
        <w:rPr>
          <w:b/>
        </w:rPr>
      </w:pPr>
      <w:r>
        <w:rPr>
          <w:b/>
        </w:rPr>
        <w:t>3. ДОГОВОРЕНИ КОЛИЧЕСТВА</w:t>
      </w:r>
    </w:p>
    <w:p>
      <w:pPr>
        <w:jc w:val="both"/>
      </w:pPr>
    </w:p>
    <w:p>
      <w:pPr>
        <w:jc w:val="both"/>
      </w:pPr>
      <w:r>
        <w:rPr>
          <w:b/>
        </w:rPr>
        <w:t>Чл.3</w:t>
      </w:r>
      <w:r>
        <w:t xml:space="preserve"> </w:t>
      </w:r>
    </w:p>
    <w:p>
      <w:pPr>
        <w:pStyle w:val="Heading4"/>
        <w:keepNext w:val="0"/>
        <w:keepLines/>
        <w:tabs>
          <w:tab w:val="num" w:pos="426"/>
        </w:tabs>
        <w:spacing w:before="60" w:line="264" w:lineRule="auto"/>
        <w:jc w:val="both"/>
        <w:rPr>
          <w:lang w:val="ru-RU"/>
        </w:rPr>
      </w:pPr>
      <w:r>
        <w:rPr>
          <w:lang w:val="ru-RU"/>
        </w:rPr>
        <w:t xml:space="preserve">(1) ДОСТАВЧИКЪТ е длъжен да предостави на ОПЕРАТОРА количествата </w:t>
      </w:r>
      <w:r>
        <w:t>нетна разполагаемост</w:t>
      </w:r>
      <w:r>
        <w:rPr>
          <w:lang w:val="ru-RU"/>
        </w:rPr>
        <w:t xml:space="preserve"> за Студен резерв по чл. 2.</w:t>
      </w:r>
    </w:p>
    <w:p>
      <w:pPr>
        <w:spacing w:before="120" w:after="120"/>
        <w:jc w:val="both"/>
      </w:pPr>
      <w:r>
        <w:rPr>
          <w:lang w:val="ru-RU"/>
        </w:rPr>
        <w:lastRenderedPageBreak/>
        <w:t xml:space="preserve">(2) За централи на твърдо гориво необходимият минимум от складови запаси на горива </w:t>
      </w:r>
      <w:r>
        <w:t>на площадката на производителя,</w:t>
      </w:r>
      <w:r>
        <w:rPr>
          <w:lang w:val="ru-RU"/>
        </w:rPr>
        <w:t xml:space="preserve"> следва да осигури непрекъсната работа на договорения Студен резерв за периода на доставката, съгласно Тръжното задание и Приложение 4, извън утвърдените от министъра на икономиката и енергетиката складови запаси по реда на чл.5 от </w:t>
      </w:r>
      <w:r>
        <w:rPr>
          <w:bCs/>
        </w:rPr>
        <w:t>Наредба № 11 от 10 юни 2004 г. за резерви от горива (</w:t>
      </w:r>
      <w:r>
        <w:rPr>
          <w:bCs/>
          <w:i/>
          <w:iCs/>
        </w:rPr>
        <w:t>Обн. ДВ, бр.75 от 27 Август 2004г.)</w:t>
      </w:r>
      <w:r>
        <w:rPr>
          <w:lang w:val="ru-RU"/>
        </w:rPr>
        <w:t xml:space="preserve">. Констатирането на наличните количества складови запаси от горива ще се извършва ежедневно, </w:t>
      </w:r>
      <w:r>
        <w:t>съгласно изискванията на чл.28, т.11 от Н</w:t>
      </w:r>
      <w:r>
        <w:rPr>
          <w:bCs/>
        </w:rPr>
        <w:t>аредба № РД-16-57 от 28 януари 2008 г. за дейността на операторите на електроенергийната система и на разпределителните мрежи, както и на оперативния дежурен персонал от електроенергийните обекти и електрическите уредби на потребителите, и</w:t>
      </w:r>
      <w:r>
        <w:rPr>
          <w:iCs/>
        </w:rPr>
        <w:t>здадена от Министерството на енергетиката (</w:t>
      </w:r>
      <w:r>
        <w:rPr>
          <w:bCs/>
          <w:iCs/>
        </w:rPr>
        <w:t>обн. ДВ. бр.17 от 19 февруари 2008г.)</w:t>
      </w:r>
      <w:r>
        <w:rPr>
          <w:bCs/>
          <w:iCs/>
          <w:lang w:val="ru-RU"/>
        </w:rPr>
        <w:t xml:space="preserve">, </w:t>
      </w:r>
      <w:r>
        <w:rPr>
          <w:bCs/>
          <w:iCs/>
        </w:rPr>
        <w:t xml:space="preserve">като ДОСТАВЧКЪТ е длъжен да представя всеки ден на ОПЕРАТОРА информацията за наличното количество. </w:t>
      </w:r>
      <w:r>
        <w:rPr>
          <w:lang w:val="ru-RU"/>
        </w:rPr>
        <w:t xml:space="preserve">Възстановяването на изразходвания запас трябва да започне непосредствено след активирането на блока от Студен резерв, така че ДОСТАВЧИКЪТ да не допусне спиране на активиран блок от Студен резерв поради липса на гориво. Възстановяването на изразходвания запас трябва да приключи след толкова дни от спирането на блока, колкото е работил активирания блок. Изразходваното гориво през първия ден след активирането на блока не се счита за намаление на складовите запаси. Задължението на Централата за обезпечаване на запаси от гориво за Студен резерв е отделно от задължението за осигуряване на запаси от горива за редовно производство съгласно Наредба № 11 от 10.06.2004 г. за резерви от горива. </w:t>
      </w:r>
      <w:r>
        <w:t>Помесечното необходимо количество гориво е определено в Приложение 4, което е изготвено възоснова на решението за класиране и тръжното предложение на ДОСТАВЧИКА, което представлява неразделна част от този договор – Приложение 5 . При противоречие между информацията в Приложение 4 и тази, посочена от участника в Приложение 5, валидно е Приложение 4.</w:t>
      </w:r>
    </w:p>
    <w:p>
      <w:pPr>
        <w:spacing w:before="120" w:after="120"/>
        <w:jc w:val="both"/>
        <w:rPr>
          <w:lang w:val="ru-RU"/>
        </w:rPr>
      </w:pPr>
      <w:r>
        <w:rPr>
          <w:lang w:val="ru-RU"/>
        </w:rPr>
        <w:t xml:space="preserve">(3) За централи на течно гориво е необходимо наличие на договор с контрагент за доставката му, така че да се осигури непрекъсната работа на договорения Студен резерв за периода на доставката съгласно Тръжното задание и Приложение 4, извън утвърдените от министъра на енергетиката складови запаси по реда на чл.5 от </w:t>
      </w:r>
      <w:r>
        <w:rPr>
          <w:bCs/>
        </w:rPr>
        <w:t>наредба № 11 от 10 юни 2004 г. за резерви от горива (</w:t>
      </w:r>
      <w:r>
        <w:rPr>
          <w:bCs/>
          <w:i/>
          <w:iCs/>
        </w:rPr>
        <w:t>Обн. ДВ. Бр.75 от 27 Август 2004г.)</w:t>
      </w:r>
      <w:r>
        <w:rPr>
          <w:lang w:val="ru-RU"/>
        </w:rPr>
        <w:t>. Задължението на Централата за обезпечаване на гориво за Студен резерв е отделно от задължението за осигуряване на горива за редовно производство съгласно Наредба № 11 от 10.06.2004 г. за резерви от горива.</w:t>
      </w:r>
    </w:p>
    <w:p>
      <w:pPr>
        <w:spacing w:before="120" w:after="120"/>
        <w:jc w:val="both"/>
        <w:rPr>
          <w:lang w:val="ru-RU"/>
        </w:rPr>
      </w:pPr>
    </w:p>
    <w:p>
      <w:pPr>
        <w:ind w:firstLine="709"/>
        <w:jc w:val="both"/>
        <w:rPr>
          <w:b/>
          <w:bCs/>
        </w:rPr>
      </w:pPr>
    </w:p>
    <w:p>
      <w:pPr>
        <w:ind w:firstLine="709"/>
        <w:jc w:val="both"/>
        <w:rPr>
          <w:b/>
        </w:rPr>
      </w:pPr>
      <w:r>
        <w:rPr>
          <w:b/>
          <w:bCs/>
        </w:rPr>
        <w:t>4.</w:t>
      </w:r>
      <w:r>
        <w:rPr>
          <w:b/>
        </w:rPr>
        <w:t xml:space="preserve"> ИЗКУПУВАНИ КОЛИЧЕСТВА</w:t>
      </w:r>
    </w:p>
    <w:p>
      <w:pPr>
        <w:jc w:val="both"/>
        <w:rPr>
          <w:b/>
        </w:rPr>
      </w:pPr>
    </w:p>
    <w:p>
      <w:pPr>
        <w:jc w:val="both"/>
      </w:pPr>
      <w:r>
        <w:rPr>
          <w:b/>
        </w:rPr>
        <w:t>Чл.4</w:t>
      </w:r>
      <w:r>
        <w:t xml:space="preserve"> </w:t>
      </w:r>
    </w:p>
    <w:p>
      <w:pPr>
        <w:jc w:val="both"/>
      </w:pPr>
      <w:r>
        <w:t>(1) ОПЕРАТОРЪТ изкупува действителната нетна разполагаемост [MW*h] на действителната нетна разполагаемост активна мощност [MW] на договорените блокове, които са в състояние Студен резерв през всеки период на разполагаемост, която се определя като договорената предоставена нетна разполагаемост максимална активна мощност от  Приложение 1 се намалява с:</w:t>
      </w:r>
    </w:p>
    <w:p>
      <w:pPr>
        <w:ind w:left="680"/>
        <w:jc w:val="both"/>
        <w:rPr>
          <w:lang w:val="ru-RU"/>
        </w:rPr>
      </w:pPr>
      <w:r>
        <w:t>1. неразрешените намаления от договорената</w:t>
      </w:r>
      <w:r>
        <w:rPr>
          <w:b/>
        </w:rPr>
        <w:t xml:space="preserve"> </w:t>
      </w:r>
      <w:r>
        <w:t>мощност, регистрирани след активиране на блок от Студен резерв;</w:t>
      </w:r>
    </w:p>
    <w:p>
      <w:pPr>
        <w:pStyle w:val="BodyTextIndent"/>
        <w:ind w:left="680"/>
        <w:rPr>
          <w:lang w:val="bg-BG"/>
        </w:rPr>
      </w:pPr>
      <w:r>
        <w:rPr>
          <w:lang w:val="bg-BG"/>
        </w:rPr>
        <w:t>2.</w:t>
      </w:r>
      <w:r>
        <w:t xml:space="preserve"> </w:t>
      </w:r>
      <w:r>
        <w:rPr>
          <w:lang w:val="bg-BG"/>
        </w:rPr>
        <w:t>непредоставената мощност поради закъснение за включване или забавено натоварване  на активиран блок от Студен резерв, ако ДОСТАВЧИКЪТ не може да замени своевременно съответния блок с друг;</w:t>
      </w:r>
    </w:p>
    <w:p>
      <w:pPr>
        <w:ind w:left="680"/>
        <w:jc w:val="both"/>
      </w:pPr>
      <w:r>
        <w:lastRenderedPageBreak/>
        <w:t>3. процента намаление на наличните складови запаси от горива на площадката на производителя</w:t>
      </w:r>
      <w:r>
        <w:rPr>
          <w:lang w:val="ru-RU"/>
        </w:rPr>
        <w:t xml:space="preserve"> </w:t>
      </w:r>
      <w:r>
        <w:t xml:space="preserve">спрямо договорените количества по чл. </w:t>
      </w:r>
      <w:r>
        <w:rPr>
          <w:lang w:val="ru-RU"/>
        </w:rPr>
        <w:t>3</w:t>
      </w:r>
      <w:r>
        <w:t>, посочени в Приложение 4;</w:t>
      </w:r>
    </w:p>
    <w:p>
      <w:pPr>
        <w:ind w:left="680"/>
        <w:jc w:val="both"/>
      </w:pPr>
      <w:r>
        <w:t>4. непредоставената мощност в резултат от разрешени и/или принудителни престои;</w:t>
      </w:r>
    </w:p>
    <w:p>
      <w:pPr>
        <w:ind w:left="680"/>
        <w:jc w:val="both"/>
      </w:pPr>
      <w:r>
        <w:t>5. непредоставената разполагаемост за Студен резерв, регистрирана при неуспешно активиране на студен резерв по чл. 9.</w:t>
      </w:r>
    </w:p>
    <w:p>
      <w:pPr>
        <w:ind w:left="680"/>
        <w:jc w:val="both"/>
      </w:pPr>
      <w:r>
        <w:t>6. непредоставената разполагаемост за Студен резерв, вследствие изпълнение на лицензионни задължения по топлоснабдяване.</w:t>
      </w:r>
    </w:p>
    <w:p>
      <w:pPr>
        <w:jc w:val="both"/>
      </w:pPr>
    </w:p>
    <w:p>
      <w:pPr>
        <w:pStyle w:val="BodyTextIndent"/>
        <w:rPr>
          <w:lang w:val="bg-BG"/>
        </w:rPr>
      </w:pPr>
      <w:r>
        <w:t>(2) При активиране на блок от Студен резерв ОПЕРАТОРЪТ изкупува</w:t>
      </w:r>
      <w:r>
        <w:rPr>
          <w:lang w:val="bg-BG"/>
        </w:rPr>
        <w:t xml:space="preserve"> чрез балансиращия пазар, </w:t>
      </w:r>
      <w:r>
        <w:t>активната енергия на този блок</w:t>
      </w:r>
      <w:r>
        <w:rPr>
          <w:lang w:val="bg-BG"/>
        </w:rPr>
        <w:t xml:space="preserve"> по еднокомпонентна цена, която включва всички разходи на ДОСТАВЧИКА за нейното производство и доставка, в т.ч.</w:t>
      </w:r>
      <w:r>
        <w:t xml:space="preserve"> разполагаемост, енергия, </w:t>
      </w:r>
      <w:r>
        <w:rPr>
          <w:lang w:val="bg-BG"/>
        </w:rPr>
        <w:t>цикли спиране – пускане на блок</w:t>
      </w:r>
      <w:r>
        <w:t xml:space="preserve"> и</w:t>
      </w:r>
      <w:r>
        <w:rPr>
          <w:lang w:val="bg-BG"/>
        </w:rPr>
        <w:t xml:space="preserve"> др</w:t>
      </w:r>
      <w:r>
        <w:t>.</w:t>
      </w:r>
    </w:p>
    <w:p>
      <w:pPr>
        <w:pStyle w:val="BodyTextIndent"/>
        <w:rPr>
          <w:lang w:val="bg-BG"/>
        </w:rPr>
      </w:pPr>
    </w:p>
    <w:p>
      <w:pPr>
        <w:pStyle w:val="BodyTextIndent"/>
        <w:rPr>
          <w:lang w:val="bg-BG"/>
        </w:rPr>
      </w:pPr>
      <w:r>
        <w:rPr>
          <w:lang w:val="bg-BG"/>
        </w:rPr>
        <w:t>(3)</w:t>
      </w:r>
      <w:r>
        <w:t xml:space="preserve"> </w:t>
      </w:r>
      <w:r>
        <w:rPr>
          <w:lang w:val="bg-BG"/>
        </w:rPr>
        <w:t>Ц</w:t>
      </w:r>
      <w:r>
        <w:t>ена</w:t>
      </w:r>
      <w:r>
        <w:rPr>
          <w:lang w:val="bg-BG"/>
        </w:rPr>
        <w:t>та се</w:t>
      </w:r>
      <w:r>
        <w:t xml:space="preserve"> посоч</w:t>
      </w:r>
      <w:r>
        <w:rPr>
          <w:lang w:val="bg-BG"/>
        </w:rPr>
        <w:t>ва</w:t>
      </w:r>
      <w:r>
        <w:t xml:space="preserve"> от ДОСТАВЧИКА по факс за всеки календарен месец, не по-късно от 15-то число на предходния месец в лв./</w:t>
      </w:r>
      <w:r>
        <w:rPr>
          <w:lang w:val="bg-BG"/>
        </w:rPr>
        <w:t xml:space="preserve">МВтч съгласно изискванията на ПТЕЕ. За месец </w:t>
      </w:r>
      <w:r>
        <w:t xml:space="preserve"> </w:t>
      </w:r>
      <w:r>
        <w:rPr>
          <w:lang w:val="bg-BG"/>
        </w:rPr>
        <w:t xml:space="preserve">септември 2015г. цената е в размер на ................ лв/МВтч без ДДС </w:t>
      </w:r>
      <w:bookmarkStart w:id="0" w:name="OLE_LINK1"/>
      <w:r>
        <w:rPr>
          <w:lang w:val="bg-BG"/>
        </w:rPr>
        <w:t>*</w:t>
      </w:r>
      <w:bookmarkEnd w:id="0"/>
      <w:r>
        <w:rPr>
          <w:lang w:val="bg-BG"/>
        </w:rPr>
        <w:t xml:space="preserve"> </w:t>
      </w:r>
    </w:p>
    <w:p>
      <w:pPr>
        <w:pStyle w:val="BodyTextIndent"/>
        <w:rPr>
          <w:lang w:val="bg-BG"/>
        </w:rPr>
      </w:pPr>
    </w:p>
    <w:p>
      <w:pPr>
        <w:pStyle w:val="BodyTextIndent"/>
        <w:ind w:left="450" w:hanging="360"/>
        <w:rPr>
          <w:lang w:val="bg-BG"/>
        </w:rPr>
      </w:pPr>
      <w:r>
        <w:rPr>
          <w:lang w:val="bg-BG"/>
        </w:rPr>
        <w:t xml:space="preserve">*  Текстът на алинея 3 се прецизира в зависимост от лота, за който се сключва договорът. </w:t>
      </w:r>
    </w:p>
    <w:p>
      <w:pPr>
        <w:pStyle w:val="BodyTextIndent"/>
        <w:rPr>
          <w:lang w:val="bg-BG"/>
        </w:rPr>
      </w:pPr>
    </w:p>
    <w:p>
      <w:pPr>
        <w:pStyle w:val="BodyText"/>
        <w:tabs>
          <w:tab w:val="num" w:pos="426"/>
        </w:tabs>
        <w:jc w:val="both"/>
        <w:rPr>
          <w:lang w:val="ru-RU"/>
        </w:rPr>
      </w:pPr>
    </w:p>
    <w:p>
      <w:pPr>
        <w:pStyle w:val="BodyText"/>
        <w:tabs>
          <w:tab w:val="num" w:pos="426"/>
        </w:tabs>
        <w:jc w:val="both"/>
        <w:rPr>
          <w:lang w:val="ru-RU"/>
        </w:rPr>
      </w:pPr>
      <w:r>
        <w:rPr>
          <w:lang w:val="ru-RU"/>
        </w:rPr>
        <w:t xml:space="preserve"> </w:t>
      </w:r>
      <w:r>
        <w:t>(4) ОПЕРАТОРЪТ дължи на ДОСТАВЧИКА заплащане на разходите за циклите спиране</w:t>
      </w:r>
      <w:r>
        <w:rPr>
          <w:lang w:val="ru-RU"/>
        </w:rPr>
        <w:t>/пускане на блока в студен резерв само в изрично предвидените в този договор случаи.</w:t>
      </w:r>
    </w:p>
    <w:p>
      <w:pPr>
        <w:jc w:val="both"/>
      </w:pPr>
    </w:p>
    <w:p>
      <w:pPr>
        <w:rPr>
          <w:b/>
          <w:bCs/>
        </w:rPr>
      </w:pPr>
      <w:r>
        <w:tab/>
      </w:r>
      <w:r>
        <w:rPr>
          <w:b/>
          <w:bCs/>
        </w:rPr>
        <w:t>5.</w:t>
      </w:r>
      <w:r>
        <w:t xml:space="preserve"> </w:t>
      </w:r>
      <w:r>
        <w:rPr>
          <w:b/>
          <w:bCs/>
        </w:rPr>
        <w:t>ДИСПЕЧИРАНЕ И ЕКСПЛОАТАЦИОННИ ЗАДЪЛЖЕНИЯ</w:t>
      </w:r>
    </w:p>
    <w:p>
      <w:pPr>
        <w:jc w:val="both"/>
      </w:pPr>
    </w:p>
    <w:p>
      <w:pPr>
        <w:jc w:val="both"/>
      </w:pPr>
      <w:r>
        <w:rPr>
          <w:b/>
        </w:rPr>
        <w:t>Чл.5</w:t>
      </w:r>
      <w:r>
        <w:t xml:space="preserve"> </w:t>
      </w:r>
    </w:p>
    <w:p>
      <w:pPr>
        <w:jc w:val="both"/>
      </w:pPr>
      <w:r>
        <w:t>Планирането и управлението на разполагаемата мощност на ДОСТАВЧИКА се извършва съгласно условията на Правилата за управление на електроенергийната система.</w:t>
      </w:r>
    </w:p>
    <w:p>
      <w:pPr>
        <w:jc w:val="both"/>
      </w:pPr>
    </w:p>
    <w:p>
      <w:pPr>
        <w:jc w:val="both"/>
      </w:pPr>
      <w:r>
        <w:rPr>
          <w:b/>
        </w:rPr>
        <w:t>Чл.6</w:t>
      </w:r>
      <w:r>
        <w:t xml:space="preserve"> </w:t>
      </w:r>
    </w:p>
    <w:p>
      <w:pPr>
        <w:jc w:val="both"/>
        <w:rPr>
          <w:lang w:val="ru-RU"/>
        </w:rPr>
      </w:pPr>
      <w:r>
        <w:t>ОПЕРАТОРЪТ диспечира централата в съответствие с техническите изисквания в границите на разполагаемата мощност, съобразно Експлоатационните характеристики.</w:t>
      </w:r>
    </w:p>
    <w:p>
      <w:pPr>
        <w:jc w:val="both"/>
        <w:rPr>
          <w:lang w:val="ru-RU"/>
        </w:rPr>
      </w:pPr>
    </w:p>
    <w:p>
      <w:pPr>
        <w:jc w:val="both"/>
      </w:pPr>
      <w:r>
        <w:rPr>
          <w:b/>
        </w:rPr>
        <w:t>Чл.7</w:t>
      </w:r>
      <w:r>
        <w:t xml:space="preserve"> </w:t>
      </w:r>
    </w:p>
    <w:p>
      <w:pPr>
        <w:jc w:val="both"/>
        <w:rPr>
          <w:lang w:val="ru-RU"/>
        </w:rPr>
      </w:pPr>
      <w:r>
        <w:t>ДОСТАВЧИКЪТ е длъжен да уведомява писмено ОПЕРАТОРА за всякакви планирани изменения, допълнения и замени в съоръженията си, влияещи на условията на този договор. Тези промени трябва да отговарят на действащото законодателство, както и на изискванията за безопасност на ОПЕРАТОРА.</w:t>
      </w:r>
    </w:p>
    <w:p>
      <w:pPr>
        <w:jc w:val="both"/>
        <w:rPr>
          <w:lang w:val="ru-RU"/>
        </w:rPr>
      </w:pPr>
    </w:p>
    <w:p>
      <w:pPr>
        <w:jc w:val="both"/>
      </w:pPr>
      <w:r>
        <w:rPr>
          <w:b/>
        </w:rPr>
        <w:t>Чл.8</w:t>
      </w:r>
      <w:r>
        <w:t xml:space="preserve"> </w:t>
      </w:r>
    </w:p>
    <w:p>
      <w:pPr>
        <w:jc w:val="both"/>
        <w:rPr>
          <w:lang w:val="ru-RU"/>
        </w:rPr>
      </w:pPr>
      <w:r>
        <w:t>ДОСТАВЧИКЪТ е длъжен да предоставя ежедневно на ОПЕРАТОРА информация за прихода, разхода и наличността на гориво на площадката на производителя.</w:t>
      </w:r>
    </w:p>
    <w:p>
      <w:pPr>
        <w:jc w:val="both"/>
        <w:rPr>
          <w:lang w:val="ru-RU"/>
        </w:rPr>
      </w:pPr>
    </w:p>
    <w:p>
      <w:pPr>
        <w:jc w:val="both"/>
      </w:pPr>
      <w:r>
        <w:rPr>
          <w:b/>
        </w:rPr>
        <w:t>Чл.9</w:t>
      </w:r>
      <w:r>
        <w:t xml:space="preserve"> </w:t>
      </w:r>
    </w:p>
    <w:p>
      <w:pPr>
        <w:jc w:val="both"/>
      </w:pPr>
      <w:r>
        <w:t xml:space="preserve">Операторът разпорежда при нужда активиране на блок в Студен резерв. За недопускане на съмнение, в случай на неуспешно активиране на блока, ДОСТАВЧИКЪТ може да използва като заместваща мощност друг блок, който е резервен, за да изпълни задълженията си за </w:t>
      </w:r>
      <w:r>
        <w:lastRenderedPageBreak/>
        <w:t>Студен резерв по този договор. Ако в рамките на 10 часа от първоначалното разпореждане и заместващият блок не се активира успешно, активирането на блок от Студен резерв се счита за неуспешно от момента на разпореждането и ДОСТАВЧИКЪТ възстановява на ОПЕРАТОРА заплатената сума за разполагаемост за времето на последния период, в който блокът е бил в Студен резерв по реда на чл.19 ал.4.</w:t>
      </w:r>
    </w:p>
    <w:p>
      <w:pPr>
        <w:jc w:val="both"/>
      </w:pPr>
    </w:p>
    <w:p>
      <w:pPr>
        <w:ind w:firstLine="709"/>
        <w:jc w:val="both"/>
        <w:rPr>
          <w:b/>
        </w:rPr>
      </w:pPr>
      <w:r>
        <w:rPr>
          <w:b/>
        </w:rPr>
        <w:t>6. ИЗМЕРВАНЕ НА ЕНЕРГИЯ И МОЩНОСТ</w:t>
      </w:r>
    </w:p>
    <w:p>
      <w:pPr>
        <w:jc w:val="both"/>
        <w:rPr>
          <w:bCs/>
        </w:rPr>
      </w:pPr>
    </w:p>
    <w:p>
      <w:pPr>
        <w:jc w:val="both"/>
      </w:pPr>
      <w:r>
        <w:rPr>
          <w:b/>
        </w:rPr>
        <w:t>Чл.10</w:t>
      </w:r>
      <w:r>
        <w:t xml:space="preserve"> </w:t>
      </w:r>
    </w:p>
    <w:p>
      <w:pPr>
        <w:jc w:val="both"/>
        <w:rPr>
          <w:bCs/>
        </w:rPr>
      </w:pPr>
      <w:r>
        <w:t>ОПЕРАТОРЪТ за своя сметка осигурява и поддържа електромери за търговско измерване и средства за дистанционно отчитане за всеки генератор за измерване през всеки период на разполагаемост на активна и реактивна мощност</w:t>
      </w:r>
      <w:r>
        <w:rPr>
          <w:b/>
        </w:rPr>
        <w:t xml:space="preserve"> </w:t>
      </w:r>
      <w:r>
        <w:rPr>
          <w:bCs/>
        </w:rPr>
        <w:t>(измерващи брутна и нетна енергия). Тези средства за измерване са описани в Приложение 3.</w:t>
      </w:r>
    </w:p>
    <w:p>
      <w:pPr>
        <w:jc w:val="both"/>
      </w:pPr>
    </w:p>
    <w:p>
      <w:pPr>
        <w:jc w:val="both"/>
      </w:pPr>
      <w:r>
        <w:rPr>
          <w:b/>
        </w:rPr>
        <w:t>Чл.11</w:t>
      </w:r>
      <w:r>
        <w:t xml:space="preserve"> </w:t>
      </w:r>
    </w:p>
    <w:p>
      <w:pPr>
        <w:jc w:val="both"/>
      </w:pPr>
      <w:r>
        <w:t>ОПЕРАТОРЪТ и ДОСТАВЧИКЪТ използват предоставените от собственика на средствата за търговско измерване данни от електромерите за търговско измерване на активна и реактивна енергия в мястото на доставка за преносната система</w:t>
      </w:r>
      <w:r>
        <w:rPr>
          <w:b/>
        </w:rPr>
        <w:t xml:space="preserve"> </w:t>
      </w:r>
      <w:r>
        <w:rPr>
          <w:bCs/>
        </w:rPr>
        <w:t>(измерващи нетна енергия).</w:t>
      </w:r>
    </w:p>
    <w:p>
      <w:pPr>
        <w:jc w:val="both"/>
      </w:pPr>
    </w:p>
    <w:p>
      <w:pPr>
        <w:jc w:val="both"/>
      </w:pPr>
      <w:r>
        <w:rPr>
          <w:b/>
        </w:rPr>
        <w:t>Чл.12</w:t>
      </w:r>
      <w:r>
        <w:t xml:space="preserve"> </w:t>
      </w:r>
    </w:p>
    <w:p>
      <w:pPr>
        <w:jc w:val="both"/>
        <w:rPr>
          <w:bCs/>
        </w:rPr>
      </w:pPr>
      <w:r>
        <w:t>ДОСТАВЧИКЪТ може за своя сметка да осигури, притежава и поддържа контролни средства за измерване, които да съответстват по технически и метрологични характеристики на тези на ОПЕРАТОРА или на собственика на средствата за търговско измерване, за да могат да бъдат извършвани същите измервания, каквито се извършват с измервателните уреди на ОПЕРАТОРА и на собственика на средствата за търговско измерване.</w:t>
      </w:r>
    </w:p>
    <w:p>
      <w:pPr>
        <w:jc w:val="both"/>
      </w:pPr>
    </w:p>
    <w:p>
      <w:pPr>
        <w:pStyle w:val="BodyText2"/>
        <w:rPr>
          <w:lang w:val="bg-BG"/>
        </w:rPr>
      </w:pPr>
      <w:r>
        <w:rPr>
          <w:b/>
          <w:lang w:val="bg-BG"/>
        </w:rPr>
        <w:t>Чл.13</w:t>
      </w:r>
      <w:r>
        <w:rPr>
          <w:lang w:val="bg-BG"/>
        </w:rPr>
        <w:t xml:space="preserve"> </w:t>
      </w:r>
    </w:p>
    <w:p>
      <w:pPr>
        <w:pStyle w:val="BodyText2"/>
        <w:rPr>
          <w:lang w:val="bg-BG"/>
        </w:rPr>
      </w:pPr>
      <w:r>
        <w:rPr>
          <w:lang w:val="bg-BG"/>
        </w:rPr>
        <w:t>Всяка Страна е длъжна да осигурява незабавен достъп на представители на другата Страна до средствата за търговско измерване, регистрираните показания и резултатите от проверките винаги, когато това е необходимо.</w:t>
      </w:r>
    </w:p>
    <w:p>
      <w:pPr>
        <w:jc w:val="both"/>
      </w:pPr>
    </w:p>
    <w:p>
      <w:pPr>
        <w:jc w:val="both"/>
      </w:pPr>
      <w:r>
        <w:rPr>
          <w:b/>
        </w:rPr>
        <w:t>Чл.14</w:t>
      </w:r>
      <w:r>
        <w:t xml:space="preserve"> </w:t>
      </w:r>
    </w:p>
    <w:p>
      <w:pPr>
        <w:jc w:val="both"/>
      </w:pPr>
      <w:r>
        <w:t>Ако при проверка се установи неправилно и/или неточно измерване и/или изчисляване на количествата произведена енергия, двете страни изготвят  съвместен протокол за действително произведените количества енергия.</w:t>
      </w:r>
    </w:p>
    <w:p>
      <w:pPr>
        <w:jc w:val="both"/>
      </w:pPr>
    </w:p>
    <w:p>
      <w:pPr>
        <w:jc w:val="both"/>
        <w:rPr>
          <w:b/>
        </w:rPr>
      </w:pPr>
      <w:r>
        <w:rPr>
          <w:b/>
        </w:rPr>
        <w:t xml:space="preserve">Чл.15 </w:t>
      </w:r>
    </w:p>
    <w:p>
      <w:pPr>
        <w:pStyle w:val="Heading4"/>
        <w:keepNext w:val="0"/>
        <w:keepLines/>
        <w:tabs>
          <w:tab w:val="num" w:pos="426"/>
        </w:tabs>
        <w:spacing w:before="60" w:line="264" w:lineRule="auto"/>
        <w:jc w:val="both"/>
        <w:rPr>
          <w:lang w:val="ru-RU"/>
        </w:rPr>
      </w:pPr>
      <w:r>
        <w:rPr>
          <w:lang w:val="ru-RU"/>
        </w:rPr>
        <w:t>(1) ОПЕРАТОРЪТ е длъжен да предостави за експертиза по реда на Закона за измерванията електромерите за измерване на енергия при поискване от ДОСТАВЧИКА.</w:t>
      </w:r>
    </w:p>
    <w:p>
      <w:pPr>
        <w:pStyle w:val="Heading4"/>
        <w:keepNext w:val="0"/>
        <w:keepLines/>
        <w:tabs>
          <w:tab w:val="num" w:pos="426"/>
        </w:tabs>
        <w:spacing w:after="0" w:line="264" w:lineRule="auto"/>
        <w:jc w:val="both"/>
        <w:rPr>
          <w:lang w:val="ru-RU"/>
        </w:rPr>
      </w:pPr>
      <w:r>
        <w:rPr>
          <w:lang w:val="ru-RU"/>
        </w:rPr>
        <w:t>(2) В случай че електромерите за измерване на енергия отговарят на техническите изисквания, разходите за експертизите са за сметка на ДОСТАВЧИКА.</w:t>
      </w:r>
    </w:p>
    <w:p>
      <w:pPr>
        <w:jc w:val="both"/>
      </w:pPr>
    </w:p>
    <w:p>
      <w:pPr>
        <w:jc w:val="both"/>
      </w:pPr>
      <w:r>
        <w:rPr>
          <w:b/>
        </w:rPr>
        <w:t>Чл.16</w:t>
      </w:r>
      <w:r>
        <w:t xml:space="preserve"> </w:t>
      </w:r>
    </w:p>
    <w:p>
      <w:pPr>
        <w:jc w:val="both"/>
      </w:pPr>
      <w:r>
        <w:t>В случай, че някои от средствата за измерване не отговарят на изискванията на действащите нормативни актове, те се заменят и/или поправят във възможно най-кратък срок за сметка на Страната, чиято собственост са.</w:t>
      </w:r>
    </w:p>
    <w:p>
      <w:pPr>
        <w:jc w:val="both"/>
      </w:pPr>
    </w:p>
    <w:p>
      <w:pPr>
        <w:jc w:val="both"/>
        <w:rPr>
          <w:b/>
          <w:bCs/>
          <w:lang w:val="en-US"/>
        </w:rPr>
      </w:pPr>
    </w:p>
    <w:p>
      <w:pPr>
        <w:jc w:val="both"/>
        <w:rPr>
          <w:bCs/>
        </w:rPr>
      </w:pPr>
      <w:r>
        <w:rPr>
          <w:b/>
          <w:bCs/>
        </w:rPr>
        <w:lastRenderedPageBreak/>
        <w:t>Чл.17</w:t>
      </w:r>
      <w:r>
        <w:rPr>
          <w:bCs/>
        </w:rPr>
        <w:t xml:space="preserve"> </w:t>
      </w:r>
    </w:p>
    <w:p>
      <w:pPr>
        <w:jc w:val="both"/>
      </w:pPr>
      <w:r>
        <w:rPr>
          <w:bCs/>
        </w:rPr>
        <w:t xml:space="preserve">ОПЕРАТОРЪТ предоставя на ДОСТАВЧИКА данните за измерената </w:t>
      </w:r>
      <w:r>
        <w:t xml:space="preserve">активна и реактивна </w:t>
      </w:r>
      <w:r>
        <w:rPr>
          <w:bCs/>
        </w:rPr>
        <w:t>мощност</w:t>
      </w:r>
      <w:r>
        <w:t>.</w:t>
      </w:r>
    </w:p>
    <w:p>
      <w:pPr>
        <w:jc w:val="both"/>
      </w:pPr>
    </w:p>
    <w:p>
      <w:pPr>
        <w:pStyle w:val="Heading4"/>
        <w:keepNext w:val="0"/>
        <w:spacing w:after="0" w:line="264" w:lineRule="auto"/>
        <w:jc w:val="both"/>
        <w:rPr>
          <w:b/>
        </w:rPr>
      </w:pPr>
      <w:r>
        <w:rPr>
          <w:b/>
        </w:rPr>
        <w:t xml:space="preserve">Чл.18 </w:t>
      </w:r>
    </w:p>
    <w:p>
      <w:pPr>
        <w:jc w:val="both"/>
      </w:pPr>
      <w:r>
        <w:t>Ако блоковете на ДОСТАВЧИКА не са оборудвани със средства за измерване на нетни количества електрическа енергия, ОПЕРАТОРЪТ използва приведените показания на измерените брутни количества електрическа енергия към нетни, като прилага среден коефициент за собствени нужди на електрическата централа изчислен за съответния отчетен месец.</w:t>
      </w:r>
    </w:p>
    <w:p>
      <w:pPr>
        <w:jc w:val="both"/>
      </w:pPr>
    </w:p>
    <w:p>
      <w:pPr>
        <w:pStyle w:val="Heading2"/>
        <w:ind w:firstLine="709"/>
        <w:jc w:val="both"/>
        <w:rPr>
          <w:b/>
        </w:rPr>
      </w:pPr>
      <w:r>
        <w:rPr>
          <w:b/>
        </w:rPr>
        <w:t>7. ФИНАНСОВИ ЗАДЪЛЖЕНИЯ, ЦЕНИ И НЕУСТОЙКИ</w:t>
      </w:r>
    </w:p>
    <w:p>
      <w:pPr>
        <w:pStyle w:val="Heading4"/>
        <w:keepNext w:val="0"/>
        <w:spacing w:after="0" w:line="264" w:lineRule="auto"/>
        <w:jc w:val="both"/>
        <w:rPr>
          <w:b/>
        </w:rPr>
      </w:pPr>
      <w:r>
        <w:rPr>
          <w:b/>
        </w:rPr>
        <w:t>Чл.19</w:t>
      </w:r>
    </w:p>
    <w:p>
      <w:pPr>
        <w:pStyle w:val="BodyText"/>
        <w:spacing w:after="0"/>
        <w:jc w:val="both"/>
      </w:pPr>
      <w:r>
        <w:rPr>
          <w:lang w:val="ru-RU"/>
        </w:rPr>
        <w:t xml:space="preserve">(1) </w:t>
      </w:r>
      <w:r>
        <w:t>ОПЕРАТОРЪТ плаща за договорения период действителната нетна разполагаемост [MW*h] на активна мощност за Студен резерв [MW] при условията на чл.4, по цена съгласно Приложение 1  и фактурирана съгласно условията на този договор.</w:t>
      </w:r>
    </w:p>
    <w:p>
      <w:pPr>
        <w:pStyle w:val="BodyText"/>
        <w:spacing w:after="0"/>
        <w:jc w:val="both"/>
        <w:rPr>
          <w:lang w:val="ru-RU"/>
        </w:rPr>
      </w:pPr>
    </w:p>
    <w:p>
      <w:pPr>
        <w:pStyle w:val="BodyText"/>
        <w:spacing w:after="0"/>
        <w:jc w:val="both"/>
      </w:pPr>
      <w:r>
        <w:rPr>
          <w:lang w:val="ru-RU"/>
        </w:rPr>
        <w:t xml:space="preserve">(2) </w:t>
      </w:r>
      <w:r>
        <w:t>Действителната нетна разполагаемост [MW*h] на максимална активна мощност за Студен резерв се определя като произведението от предоставената активна мощност на съответния блок в Студен Резерв съгласно чл. 2 и времето на разполагаемост, през което този блок е бил в състояние Студен резерв.</w:t>
      </w:r>
    </w:p>
    <w:p>
      <w:pPr>
        <w:pStyle w:val="Heading4"/>
        <w:keepNext w:val="0"/>
        <w:spacing w:after="0" w:line="264" w:lineRule="auto"/>
        <w:jc w:val="both"/>
      </w:pPr>
    </w:p>
    <w:p>
      <w:pPr>
        <w:pStyle w:val="Heading4"/>
        <w:keepNext w:val="0"/>
        <w:keepLines/>
        <w:tabs>
          <w:tab w:val="num" w:pos="426"/>
        </w:tabs>
        <w:spacing w:after="0" w:line="264" w:lineRule="auto"/>
        <w:jc w:val="both"/>
        <w:rPr>
          <w:lang w:val="ru-RU"/>
        </w:rPr>
      </w:pPr>
      <w:r>
        <w:rPr>
          <w:lang w:val="ru-RU"/>
        </w:rPr>
        <w:t>(3) Операторът не дължи плащане за поискана от него, но непредоставена от ДОСТАВЧИКА разполагаемост за Студен резерв.</w:t>
      </w:r>
    </w:p>
    <w:p>
      <w:pPr>
        <w:pStyle w:val="BodyText"/>
        <w:spacing w:after="0"/>
        <w:rPr>
          <w:lang w:val="ru-RU"/>
        </w:rPr>
      </w:pPr>
    </w:p>
    <w:p>
      <w:pPr>
        <w:pStyle w:val="BodyText"/>
        <w:spacing w:after="0"/>
        <w:jc w:val="both"/>
        <w:rPr>
          <w:lang w:val="ru-RU"/>
        </w:rPr>
      </w:pPr>
      <w:r>
        <w:rPr>
          <w:lang w:val="ru-RU"/>
        </w:rPr>
        <w:t>(4) В случаите на неуспешно активиране на блок от Студен резерв, за начало на непредоставянето се счита по-късното от двете събития: последният час на работа на блока или началото на срока на доставка по Договора. ДОСТАВЧИКЪТ възстановява на ОПЕРАТОРА заплатената сума за разполагаемост за времето на последния период, в който блокът е бил в Студен резерв.</w:t>
      </w:r>
    </w:p>
    <w:p>
      <w:pPr>
        <w:pStyle w:val="BodyText"/>
        <w:spacing w:after="0"/>
        <w:jc w:val="both"/>
        <w:rPr>
          <w:lang w:val="ru-RU"/>
        </w:rPr>
      </w:pPr>
    </w:p>
    <w:p>
      <w:pPr>
        <w:jc w:val="both"/>
      </w:pPr>
      <w:r>
        <w:rPr>
          <w:b/>
        </w:rPr>
        <w:t xml:space="preserve">Чл.20 </w:t>
      </w:r>
      <w:r>
        <w:t>При активиране на блок от Студен Резерв, ОПЕРАТОРЪТ заплаща за</w:t>
      </w:r>
      <w:bookmarkStart w:id="1" w:name="_Ref319227144"/>
      <w:r>
        <w:t xml:space="preserve"> активираното количество електрическа енергия по еднокомпонентна цена (лв./MWh), съгласно условията на този договора и фактурирано, съгласно условията на този договор. </w:t>
      </w:r>
    </w:p>
    <w:bookmarkEnd w:id="1"/>
    <w:p>
      <w:pPr>
        <w:pStyle w:val="Heading4"/>
        <w:keepNext w:val="0"/>
        <w:keepLines/>
        <w:tabs>
          <w:tab w:val="num" w:pos="426"/>
        </w:tabs>
        <w:spacing w:after="0" w:line="264" w:lineRule="auto"/>
        <w:jc w:val="both"/>
      </w:pPr>
    </w:p>
    <w:p>
      <w:pPr>
        <w:jc w:val="both"/>
        <w:rPr>
          <w:b/>
        </w:rPr>
      </w:pPr>
      <w:r>
        <w:rPr>
          <w:b/>
        </w:rPr>
        <w:t>Чл.21</w:t>
      </w:r>
    </w:p>
    <w:p>
      <w:pPr>
        <w:jc w:val="both"/>
      </w:pPr>
      <w:r>
        <w:t>При активиране на блок от Студен Резерв,</w:t>
      </w:r>
      <w:r>
        <w:rPr>
          <w:lang w:val="ru-RU"/>
        </w:rPr>
        <w:t xml:space="preserve"> </w:t>
      </w:r>
      <w:r>
        <w:t>който не успее да достигне договорената предоставена мощност, общото месечно плащане от ОПЕРАТОРА, дължимо по този Договор за съответния блок, ще бъде намалено със сумата, съответстваща на разликата между договорената и постигнатата мощност за периода от по-късното от двете събития: последният час на работа на блока или началото на срока на доставка по Договора, до момента на пускането.</w:t>
      </w:r>
    </w:p>
    <w:p>
      <w:pPr>
        <w:jc w:val="both"/>
      </w:pPr>
    </w:p>
    <w:p>
      <w:pPr>
        <w:jc w:val="both"/>
      </w:pPr>
      <w:r>
        <w:rPr>
          <w:b/>
        </w:rPr>
        <w:t>Чл.22</w:t>
      </w:r>
    </w:p>
    <w:p>
      <w:pPr>
        <w:jc w:val="both"/>
      </w:pPr>
      <w:r>
        <w:t>ДОСТАВЧИКЪТ заплаща на ОПЕРАТОРА неустойки за всеки отделен случай за:</w:t>
      </w:r>
    </w:p>
    <w:p>
      <w:pPr>
        <w:pStyle w:val="Heading4"/>
        <w:keepNext w:val="0"/>
        <w:keepLines/>
        <w:tabs>
          <w:tab w:val="num" w:pos="426"/>
        </w:tabs>
        <w:spacing w:before="60" w:line="264" w:lineRule="auto"/>
        <w:jc w:val="both"/>
        <w:rPr>
          <w:lang w:val="ru-RU"/>
        </w:rPr>
      </w:pPr>
      <w:r>
        <w:rPr>
          <w:lang w:val="ru-RU"/>
        </w:rPr>
        <w:lastRenderedPageBreak/>
        <w:t>(1)</w:t>
      </w:r>
      <w:r>
        <w:rPr>
          <w:lang w:val="ru-RU"/>
        </w:rPr>
        <w:tab/>
        <w:t>случаите на принудителни престои на блок в състояние Студен резерв, които намаляват договорения Студен резерв в размер, определен от сумата на времето на принудителните престои по съответно непредоставената мощност по 150%  от цената за Студен Резерв по този Договор, ако ДОСТАВЧИКЪТ е предизвестил ОПЕРАТОРА по-рано от осем часа преди настъпването на принудителния престой. В случаите, когато ДОСТАВЧИКЪТ не е предизвестил ОПЕРАТОРА по-рано от 8 часа преди настъпването на принудителния престой, размерът на неустойката се удвоява за първите 8 часа, намалени с времето от началото на предизвестието до началото на принудителния престой;</w:t>
      </w:r>
    </w:p>
    <w:p>
      <w:pPr>
        <w:pStyle w:val="Heading4"/>
        <w:keepNext w:val="0"/>
        <w:keepLines/>
        <w:tabs>
          <w:tab w:val="num" w:pos="426"/>
        </w:tabs>
        <w:spacing w:before="60" w:line="264" w:lineRule="auto"/>
        <w:jc w:val="both"/>
        <w:rPr>
          <w:lang w:val="ru-RU"/>
        </w:rPr>
      </w:pPr>
      <w:r>
        <w:rPr>
          <w:lang w:val="ru-RU"/>
        </w:rPr>
        <w:t>(2)</w:t>
      </w:r>
      <w:r>
        <w:rPr>
          <w:lang w:val="ru-RU"/>
        </w:rPr>
        <w:tab/>
        <w:t>случаите на закъснение след разрешен престой и/или принудителен престой на работещ блок от активиран Студен резерв в размер, определен от сумата на времето на принудителните престои по съответно непредоставената мощност по еднокомпонентната цена за активна енергия по чл.4, ал.2. Ако ДОСТАВЧИКЪТ е предизвестил ОПЕРАТОРА по-рано от осем часа преди настъпването на принудителния престой, размерът на неустойката се намалява с 50% за времето равно на периода от началото на предизвестието до началото на принудителния престой;</w:t>
      </w:r>
    </w:p>
    <w:p>
      <w:pPr>
        <w:pStyle w:val="Heading4"/>
        <w:keepNext w:val="0"/>
        <w:keepLines/>
        <w:tabs>
          <w:tab w:val="num" w:pos="426"/>
        </w:tabs>
        <w:spacing w:before="60" w:line="264" w:lineRule="auto"/>
        <w:jc w:val="both"/>
        <w:rPr>
          <w:lang w:val="ru-RU"/>
        </w:rPr>
      </w:pPr>
      <w:r>
        <w:rPr>
          <w:lang w:val="ru-RU"/>
        </w:rPr>
        <w:t>(3)</w:t>
      </w:r>
      <w:r>
        <w:rPr>
          <w:lang w:val="ru-RU"/>
        </w:rPr>
        <w:tab/>
        <w:t xml:space="preserve">случаите на неразрешено от ОПЕРАТОРА намаление или непредоставяне на договорената по </w:t>
      </w:r>
      <w:r>
        <w:t xml:space="preserve">чл. 2 </w:t>
      </w:r>
      <w:r>
        <w:rPr>
          <w:lang w:val="ru-RU"/>
        </w:rPr>
        <w:t xml:space="preserve"> мощност  от активиран  Студен резерв  по смисъла на чл. 4, ал 1, т. 1 и 2, както и по технологични причини, в размер, определен от сумата на времето по съответното намаление или непредоставена мощност по еднокомпонентната цена за активна енергия по чл.4, ал.2 от този Договор;</w:t>
      </w:r>
    </w:p>
    <w:p>
      <w:pPr>
        <w:pStyle w:val="Heading4"/>
        <w:keepNext w:val="0"/>
        <w:keepLines/>
        <w:tabs>
          <w:tab w:val="num" w:pos="426"/>
        </w:tabs>
        <w:spacing w:before="60" w:line="264" w:lineRule="auto"/>
        <w:jc w:val="both"/>
        <w:rPr>
          <w:lang w:val="ru-RU"/>
        </w:rPr>
      </w:pPr>
      <w:r>
        <w:rPr>
          <w:lang w:val="ru-RU"/>
        </w:rPr>
        <w:t>(4)</w:t>
      </w:r>
      <w:r>
        <w:rPr>
          <w:lang w:val="ru-RU"/>
        </w:rPr>
        <w:tab/>
        <w:t>случаите на неразрешено отклонение от зададената мощност на работещ блок в размер, определен от сумата от модулите (абсолютните стойности) на неразрешените отклонения от зададената мощност по еднокомпонентната цена за активна енергия по чл.4, ал.2 на този Договор;</w:t>
      </w:r>
    </w:p>
    <w:p>
      <w:pPr>
        <w:pStyle w:val="Heading4"/>
        <w:keepNext w:val="0"/>
        <w:keepLines/>
        <w:tabs>
          <w:tab w:val="num" w:pos="426"/>
        </w:tabs>
        <w:spacing w:after="0" w:line="264" w:lineRule="auto"/>
        <w:jc w:val="both"/>
        <w:rPr>
          <w:lang w:val="ru-RU"/>
        </w:rPr>
      </w:pPr>
      <w:r>
        <w:rPr>
          <w:lang w:val="ru-RU"/>
        </w:rPr>
        <w:t>(5)</w:t>
      </w:r>
      <w:r>
        <w:rPr>
          <w:lang w:val="ru-RU"/>
        </w:rPr>
        <w:tab/>
        <w:t xml:space="preserve">случаите на закъснение след времето на пускане на блок съгласно Приложение 2 в размер, определен от сумата на времената на закъснение по съответно непредоставената мощност  по еднокомпонентната цена за активна енергия по чл.4, ал.2 на този Договор; </w:t>
      </w:r>
    </w:p>
    <w:p>
      <w:pPr>
        <w:jc w:val="both"/>
        <w:rPr>
          <w:lang w:val="ru-RU"/>
        </w:rPr>
      </w:pPr>
      <w:r>
        <w:rPr>
          <w:lang w:val="ru-RU"/>
        </w:rPr>
        <w:t xml:space="preserve">(6) случаите на неизпълнение на задълженията по чл. 3, ал. 2 в размер определен от сумата на времето на неизпълнение, по процентното намаление на наличните спрямо договорените горива отнесено към договорената по </w:t>
      </w:r>
      <w:r>
        <w:t xml:space="preserve">чл. 2 </w:t>
      </w:r>
      <w:r>
        <w:rPr>
          <w:lang w:val="ru-RU"/>
        </w:rPr>
        <w:t xml:space="preserve"> мощност за Студен резерв,  по 75% от цената за Студен резерв по този договор;</w:t>
      </w:r>
    </w:p>
    <w:p>
      <w:pPr>
        <w:pStyle w:val="Heading4"/>
        <w:keepNext w:val="0"/>
        <w:keepLines/>
        <w:tabs>
          <w:tab w:val="num" w:pos="426"/>
        </w:tabs>
        <w:spacing w:before="60" w:line="264" w:lineRule="auto"/>
        <w:jc w:val="both"/>
        <w:rPr>
          <w:lang w:val="ru-RU"/>
        </w:rPr>
      </w:pPr>
      <w:r>
        <w:rPr>
          <w:lang w:val="ru-RU"/>
        </w:rPr>
        <w:t>(7)</w:t>
      </w:r>
      <w:r>
        <w:rPr>
          <w:lang w:val="ru-RU"/>
        </w:rPr>
        <w:tab/>
        <w:t xml:space="preserve">случаите на неразрешено от ОПЕРАТОРА намаление или непредоставяне на договорената по </w:t>
      </w:r>
      <w:r>
        <w:t xml:space="preserve">чл. 2 </w:t>
      </w:r>
      <w:r>
        <w:rPr>
          <w:lang w:val="ru-RU"/>
        </w:rPr>
        <w:t xml:space="preserve"> мощност за Студен резерв, в това число и по смисъла на чл. 4, ал 1, т. 5, </w:t>
      </w:r>
      <w:r>
        <w:t>при разпореждане на компетентен орган по смисъла на чл.10, ал.1 от  Закона за опазване на околната среда</w:t>
      </w:r>
      <w:r>
        <w:rPr>
          <w:lang w:val="ru-RU"/>
        </w:rPr>
        <w:t>, както и по технологични причини, в размер, определен от сумата на времето по съответното намаление или непредоставена мощност по 150%  от цената за Студен Резерв по този Договор;</w:t>
      </w:r>
    </w:p>
    <w:p>
      <w:pPr>
        <w:jc w:val="both"/>
      </w:pPr>
      <w:r>
        <w:rPr>
          <w:lang w:val="ru-RU"/>
        </w:rPr>
        <w:t xml:space="preserve"> (8)  случаите на непредоставена разполагаемост за студен резерв</w:t>
      </w:r>
      <w:r>
        <w:t xml:space="preserve">, вследствие изпълнение на лицензионни задължения по топлоснабдяване в размер, определен от сумата </w:t>
      </w:r>
      <w:r>
        <w:rPr>
          <w:lang w:val="ru-RU"/>
        </w:rPr>
        <w:t>на времето по съответното намаление или непредоставена мощност по 500% от цената за Студен резерв по този Договор</w:t>
      </w:r>
      <w:r>
        <w:t>.</w:t>
      </w:r>
    </w:p>
    <w:p>
      <w:pPr>
        <w:jc w:val="both"/>
        <w:rPr>
          <w:lang w:val="ru-RU"/>
        </w:rPr>
      </w:pPr>
    </w:p>
    <w:p>
      <w:pPr>
        <w:ind w:left="705" w:hanging="705"/>
        <w:jc w:val="both"/>
      </w:pPr>
    </w:p>
    <w:p>
      <w:pPr>
        <w:jc w:val="both"/>
        <w:rPr>
          <w:b/>
        </w:rPr>
      </w:pPr>
      <w:r>
        <w:rPr>
          <w:b/>
        </w:rPr>
        <w:lastRenderedPageBreak/>
        <w:t>Чл.23</w:t>
      </w:r>
    </w:p>
    <w:p>
      <w:pPr>
        <w:jc w:val="both"/>
      </w:pPr>
      <w:r>
        <w:t>ОПЕРАТОРЪТ заплаща на ДОСТАВЧИКА неустойка за случаите на грешна манипулация по вина на ОПЕРАТОРА, предизвикала принудителен престой на блок в размер на 150% от цената за разполагаемост за Студен резерв по този Договор за времето на принудителния престой. В този случай разходите за цикъла на спиране и пускане на този блок са за сметка на ОПЕРАТОРА.</w:t>
      </w:r>
    </w:p>
    <w:p>
      <w:pPr>
        <w:jc w:val="both"/>
      </w:pPr>
    </w:p>
    <w:p>
      <w:pPr>
        <w:numPr>
          <w:ilvl w:val="0"/>
          <w:numId w:val="37"/>
        </w:numPr>
        <w:jc w:val="both"/>
        <w:rPr>
          <w:b/>
        </w:rPr>
      </w:pPr>
      <w:r>
        <w:rPr>
          <w:b/>
        </w:rPr>
        <w:t>УСЛОВИЯ НА ПЛАЩАНЕ</w:t>
      </w:r>
    </w:p>
    <w:p>
      <w:pPr>
        <w:jc w:val="both"/>
        <w:rPr>
          <w:b/>
        </w:rPr>
      </w:pPr>
    </w:p>
    <w:p>
      <w:pPr>
        <w:jc w:val="both"/>
        <w:rPr>
          <w:b/>
        </w:rPr>
      </w:pPr>
      <w:r>
        <w:rPr>
          <w:b/>
        </w:rPr>
        <w:t>Чл.24</w:t>
      </w:r>
    </w:p>
    <w:p>
      <w:pPr>
        <w:pStyle w:val="Heading4"/>
        <w:keepNext w:val="0"/>
        <w:keepLines/>
        <w:numPr>
          <w:ilvl w:val="0"/>
          <w:numId w:val="50"/>
        </w:numPr>
        <w:spacing w:before="60" w:line="264" w:lineRule="auto"/>
        <w:jc w:val="both"/>
        <w:rPr>
          <w:lang w:val="ru-RU"/>
        </w:rPr>
      </w:pPr>
      <w:r>
        <w:t>ДОСТАВЧИКЪТ</w:t>
      </w:r>
      <w:r>
        <w:rPr>
          <w:lang w:val="ru-RU"/>
        </w:rPr>
        <w:t xml:space="preserve"> издава отделни данъчни фактури (отделно за разполагаемост за студен резерв и енергия от активиран студен резерв) за дължимите по този Договор суми до 5 календарни дни от края на отчетния месец и с дата последния ден на календарния месец.</w:t>
      </w:r>
    </w:p>
    <w:p>
      <w:pPr>
        <w:pStyle w:val="BodyText"/>
        <w:numPr>
          <w:ilvl w:val="0"/>
          <w:numId w:val="50"/>
        </w:numPr>
        <w:rPr>
          <w:lang w:val="ru-RU"/>
        </w:rPr>
      </w:pPr>
      <w:r>
        <w:t>ОПЕРАТОРЪТ</w:t>
      </w:r>
      <w:r>
        <w:rPr>
          <w:lang w:val="ru-RU"/>
        </w:rPr>
        <w:t xml:space="preserve"> издава протокол за неустойки, съгласно клаузите на договора</w:t>
      </w:r>
      <w:r>
        <w:t xml:space="preserve"> </w:t>
      </w:r>
      <w:r>
        <w:rPr>
          <w:lang w:val="ru-RU"/>
        </w:rPr>
        <w:t>до 5 календарни дни от края на отчетния месец и с дата последния ден на календарния месец.</w:t>
      </w:r>
    </w:p>
    <w:p>
      <w:pPr>
        <w:pStyle w:val="Heading4"/>
        <w:keepNext w:val="0"/>
        <w:keepLines/>
        <w:tabs>
          <w:tab w:val="num" w:pos="426"/>
        </w:tabs>
        <w:spacing w:after="0" w:line="264" w:lineRule="auto"/>
        <w:jc w:val="both"/>
        <w:rPr>
          <w:lang w:val="ru-RU"/>
        </w:rPr>
      </w:pPr>
      <w:r>
        <w:rPr>
          <w:lang w:val="ru-RU"/>
        </w:rPr>
        <w:t>(3) Срокът за плащане по издадените фактури е до 20 число на месеца, следващ отчетния.</w:t>
      </w:r>
    </w:p>
    <w:p>
      <w:pPr>
        <w:pStyle w:val="BodyText"/>
        <w:rPr>
          <w:lang w:val="ru-RU"/>
        </w:rPr>
      </w:pPr>
    </w:p>
    <w:p>
      <w:pPr>
        <w:pStyle w:val="Heading3"/>
        <w:keepNext w:val="0"/>
        <w:keepLines/>
        <w:spacing w:after="0" w:line="264" w:lineRule="auto"/>
        <w:jc w:val="both"/>
      </w:pPr>
      <w:r>
        <w:rPr>
          <w:b/>
        </w:rPr>
        <w:t>Чл.25</w:t>
      </w:r>
    </w:p>
    <w:p>
      <w:pPr>
        <w:pStyle w:val="BodyText"/>
        <w:spacing w:after="0"/>
        <w:jc w:val="both"/>
      </w:pPr>
      <w:r>
        <w:t>Всяка от Страните изпраща на насрещната издадените по този договор фактури и протоколи по факс или по електронна поща в деня на издаването им. Оригиналът на фактурата и протокола се изпраща в деня на издаването по куриерска поща, освен в случаите, когато страните са се съгласили да получават електронна фактура.</w:t>
      </w:r>
    </w:p>
    <w:p>
      <w:pPr>
        <w:pStyle w:val="Heading3"/>
        <w:keepNext w:val="0"/>
        <w:keepLines/>
        <w:spacing w:after="0" w:line="264" w:lineRule="auto"/>
        <w:jc w:val="both"/>
      </w:pPr>
    </w:p>
    <w:p>
      <w:pPr>
        <w:jc w:val="both"/>
        <w:rPr>
          <w:b/>
        </w:rPr>
      </w:pPr>
      <w:r>
        <w:rPr>
          <w:b/>
        </w:rPr>
        <w:t>Чл.26</w:t>
      </w:r>
    </w:p>
    <w:p>
      <w:pPr>
        <w:numPr>
          <w:ilvl w:val="0"/>
          <w:numId w:val="44"/>
        </w:numPr>
        <w:jc w:val="both"/>
      </w:pPr>
      <w:r>
        <w:t>Към фактурите за разполагаема мощност за студен резерв се прилагат справки, съдържащи:</w:t>
      </w:r>
    </w:p>
    <w:p>
      <w:pPr>
        <w:numPr>
          <w:ilvl w:val="0"/>
          <w:numId w:val="38"/>
        </w:numPr>
        <w:jc w:val="both"/>
      </w:pPr>
      <w:r>
        <w:t>отчетния период, изчисления на действителната нетна разполагаема мощност по периоди на разполагаемост, единична цена на разполагаема мощност, дължима сума за разполагаемата мощност;</w:t>
      </w:r>
    </w:p>
    <w:p>
      <w:pPr>
        <w:numPr>
          <w:ilvl w:val="0"/>
          <w:numId w:val="38"/>
        </w:numPr>
        <w:jc w:val="both"/>
      </w:pPr>
      <w:r>
        <w:t>изчисленията за всички периоди на месеца с намалени горива и отражението на тези периоди върху общия размер на дължимата сума.</w:t>
      </w:r>
    </w:p>
    <w:p>
      <w:pPr>
        <w:numPr>
          <w:ilvl w:val="0"/>
          <w:numId w:val="44"/>
        </w:numPr>
        <w:jc w:val="both"/>
      </w:pPr>
      <w:r>
        <w:t>Към фактурите за енергия от активиран студен резерв се прилагат справки, съдържащи отчетния период, измервания на доставената енергия от активиран студен резерв по периоди на разполагаемост, единична цена на енергия, дължима сума за енергия.</w:t>
      </w:r>
    </w:p>
    <w:p>
      <w:pPr>
        <w:numPr>
          <w:ilvl w:val="0"/>
          <w:numId w:val="44"/>
        </w:numPr>
        <w:jc w:val="both"/>
      </w:pPr>
      <w:r>
        <w:t xml:space="preserve">Към протоколите за неустойка се прилагат справки, съдържащи действителната нетна разполагаема мощност по периоди на разполагаемост, изчисления за непредоставената разполагаема мощност, единична цена на неустойките, дължими суми за неустойки за недоставена разполагаемата мощност </w:t>
      </w:r>
    </w:p>
    <w:p>
      <w:pPr>
        <w:jc w:val="both"/>
        <w:rPr>
          <w:b/>
          <w:lang w:val="en-US"/>
        </w:rPr>
      </w:pPr>
    </w:p>
    <w:p>
      <w:pPr>
        <w:jc w:val="both"/>
        <w:rPr>
          <w:b/>
        </w:rPr>
      </w:pPr>
      <w:r>
        <w:rPr>
          <w:b/>
        </w:rPr>
        <w:t>Чл.27</w:t>
      </w:r>
    </w:p>
    <w:p>
      <w:pPr>
        <w:jc w:val="both"/>
      </w:pPr>
      <w:r>
        <w:t>Ако в срок от 10 дни след получаване на фактура или протокола те не бъдат оспорени в писмен вид, същите се считат за валидни и окончателни за страните.</w:t>
      </w:r>
    </w:p>
    <w:p>
      <w:pPr>
        <w:jc w:val="both"/>
      </w:pPr>
    </w:p>
    <w:p>
      <w:pPr>
        <w:jc w:val="both"/>
      </w:pPr>
      <w:r>
        <w:rPr>
          <w:b/>
        </w:rPr>
        <w:lastRenderedPageBreak/>
        <w:t>Чл.28</w:t>
      </w:r>
      <w:r>
        <w:t xml:space="preserve"> </w:t>
      </w:r>
    </w:p>
    <w:p>
      <w:pPr>
        <w:jc w:val="both"/>
      </w:pPr>
      <w:r>
        <w:t>Ако в рамките на уговорения в чл. 2</w:t>
      </w:r>
      <w:r>
        <w:rPr>
          <w:lang w:val="ru-RU"/>
        </w:rPr>
        <w:t>7</w:t>
      </w:r>
      <w:r>
        <w:t xml:space="preserve"> срок някоя от фактурите или протокола бъдат оспорени изцяло или частично от страните, тогава:</w:t>
      </w:r>
    </w:p>
    <w:p>
      <w:pPr>
        <w:jc w:val="both"/>
      </w:pPr>
      <w:r>
        <w:t>1. ДОСТАВЧИКЪТ издава кредитни</w:t>
      </w:r>
      <w:r>
        <w:rPr>
          <w:lang w:val="ru-RU"/>
        </w:rPr>
        <w:t>/дебитни</w:t>
      </w:r>
      <w:r>
        <w:t xml:space="preserve"> известия към  фактурите с оспорените количества и стойности в месеца следващ месеца на предоставената услуга . </w:t>
      </w:r>
    </w:p>
    <w:p>
      <w:pPr>
        <w:jc w:val="both"/>
      </w:pPr>
      <w:r>
        <w:t>2. ОПЕРАТОРЪТ издава протокол с коректните количества и стойности.</w:t>
      </w:r>
    </w:p>
    <w:p>
      <w:pPr>
        <w:jc w:val="both"/>
      </w:pPr>
    </w:p>
    <w:p>
      <w:pPr>
        <w:jc w:val="both"/>
      </w:pPr>
      <w:r>
        <w:rPr>
          <w:b/>
        </w:rPr>
        <w:t>Чл.29</w:t>
      </w:r>
    </w:p>
    <w:p>
      <w:pPr>
        <w:jc w:val="both"/>
      </w:pPr>
      <w:r>
        <w:t>Страните са в закъснение, ако горните плащания не бъдат извършени в срок до указания в чл. 24 падеж.</w:t>
      </w:r>
    </w:p>
    <w:p>
      <w:pPr>
        <w:jc w:val="both"/>
      </w:pPr>
    </w:p>
    <w:p>
      <w:pPr>
        <w:jc w:val="both"/>
      </w:pPr>
      <w:r>
        <w:rPr>
          <w:b/>
        </w:rPr>
        <w:t>Чл.30</w:t>
      </w:r>
    </w:p>
    <w:p>
      <w:pPr>
        <w:jc w:val="both"/>
      </w:pPr>
      <w:r>
        <w:t>В случай на закъснение неизправната страна дължи неустойка за забава в размер на основния лихвен процент + 0,4 пункта за времето от датата на падежа по фактурата до деня на постъпване на сумата по сметка на другата страна.</w:t>
      </w:r>
    </w:p>
    <w:p>
      <w:pPr>
        <w:jc w:val="both"/>
      </w:pPr>
    </w:p>
    <w:p>
      <w:pPr>
        <w:jc w:val="both"/>
      </w:pPr>
      <w:r>
        <w:rPr>
          <w:b/>
        </w:rPr>
        <w:t>Чл.31</w:t>
      </w:r>
    </w:p>
    <w:p>
      <w:pPr>
        <w:jc w:val="both"/>
      </w:pPr>
      <w:r>
        <w:t>Плащанията се извършват чрез директен банков превод с платежно нареждане в левове.</w:t>
      </w:r>
    </w:p>
    <w:p>
      <w:pPr>
        <w:jc w:val="both"/>
      </w:pPr>
    </w:p>
    <w:p>
      <w:pPr>
        <w:jc w:val="both"/>
      </w:pPr>
      <w:r>
        <w:rPr>
          <w:b/>
        </w:rPr>
        <w:t>Чл.32</w:t>
      </w:r>
    </w:p>
    <w:p>
      <w:pPr>
        <w:jc w:val="both"/>
      </w:pPr>
      <w:r>
        <w:t>При наличие на предпоставките в чл. 103 и чл. 104 от Закона за задълженията и договорите, ОПЕРАТОРЪТ има право да направи едностранно прихващане.</w:t>
      </w:r>
    </w:p>
    <w:p>
      <w:pPr>
        <w:pStyle w:val="BodyText"/>
        <w:spacing w:after="0"/>
      </w:pPr>
    </w:p>
    <w:p>
      <w:pPr>
        <w:jc w:val="both"/>
      </w:pPr>
      <w:r>
        <w:rPr>
          <w:b/>
        </w:rPr>
        <w:t>Чл.33</w:t>
      </w:r>
      <w:r>
        <w:t xml:space="preserve"> Форс мажор</w:t>
      </w:r>
    </w:p>
    <w:p>
      <w:pPr>
        <w:pStyle w:val="Heading4"/>
        <w:keepNext w:val="0"/>
        <w:keepLines/>
        <w:tabs>
          <w:tab w:val="num" w:pos="426"/>
        </w:tabs>
        <w:spacing w:before="60" w:line="264" w:lineRule="auto"/>
        <w:jc w:val="both"/>
        <w:rPr>
          <w:lang w:val="ru-RU"/>
        </w:rPr>
      </w:pPr>
      <w:r>
        <w:rPr>
          <w:lang w:val="ru-RU"/>
        </w:rPr>
        <w:t>(1)</w:t>
      </w:r>
      <w:r>
        <w:rPr>
          <w:lang w:val="ru-RU"/>
        </w:rPr>
        <w:tab/>
        <w:t>Всяка Страна се освобождава от отговорност и няма да бъде считано, че е в нарушение по отношение на задължение по този договор, и ще има право да спре изпълнението на своите задължения по договора, ако и доколкото тази Страна не е в състояние да изпълнява своите задължения или тази Страна не може да упражнява правата си по договора поради форсмажорно обстоятелство или събитие, които не могат да бъдат разумно предвидени и преодолени от Страната, заявяваща Форс мажор.</w:t>
      </w:r>
    </w:p>
    <w:p>
      <w:pPr>
        <w:pStyle w:val="Heading4"/>
        <w:keepNext w:val="0"/>
        <w:keepLines/>
        <w:tabs>
          <w:tab w:val="num" w:pos="426"/>
        </w:tabs>
        <w:spacing w:before="60" w:line="264" w:lineRule="auto"/>
        <w:jc w:val="both"/>
        <w:rPr>
          <w:lang w:val="ru-RU"/>
        </w:rPr>
      </w:pPr>
      <w:r>
        <w:rPr>
          <w:lang w:val="ru-RU"/>
        </w:rPr>
        <w:t>(2)</w:t>
      </w:r>
      <w:r>
        <w:rPr>
          <w:lang w:val="ru-RU"/>
        </w:rPr>
        <w:tab/>
        <w:t>Никое от следните събития няма да представлява Форс мажор по този договор:</w:t>
      </w:r>
    </w:p>
    <w:p>
      <w:pPr>
        <w:numPr>
          <w:ilvl w:val="0"/>
          <w:numId w:val="35"/>
        </w:numPr>
        <w:ind w:left="1418" w:hanging="425"/>
        <w:jc w:val="both"/>
      </w:pPr>
      <w:r>
        <w:t>неизвършване или невъзможност за извършване на плащане по договора;</w:t>
      </w:r>
    </w:p>
    <w:p>
      <w:pPr>
        <w:numPr>
          <w:ilvl w:val="0"/>
          <w:numId w:val="35"/>
        </w:numPr>
        <w:ind w:left="1418" w:hanging="425"/>
        <w:jc w:val="both"/>
      </w:pPr>
      <w:r>
        <w:t>пазарните условия за цената или търсенето на електрическа енергия или за цената на горивото;</w:t>
      </w:r>
    </w:p>
    <w:p>
      <w:pPr>
        <w:numPr>
          <w:ilvl w:val="0"/>
          <w:numId w:val="35"/>
        </w:numPr>
        <w:ind w:left="1418" w:hanging="425"/>
        <w:jc w:val="both"/>
      </w:pPr>
      <w:r>
        <w:t>закъсняло пристигане на гориво или оборудване и машини за централата или преносните съоръжения;</w:t>
      </w:r>
    </w:p>
    <w:p>
      <w:pPr>
        <w:numPr>
          <w:ilvl w:val="0"/>
          <w:numId w:val="35"/>
        </w:numPr>
        <w:ind w:left="1418" w:hanging="425"/>
        <w:jc w:val="both"/>
      </w:pPr>
      <w:r>
        <w:t>повреда или обичайно износване на материали, оборудване, машини или части от централата или преносните съоръжения;</w:t>
      </w:r>
    </w:p>
    <w:p>
      <w:pPr>
        <w:numPr>
          <w:ilvl w:val="0"/>
          <w:numId w:val="35"/>
        </w:numPr>
        <w:ind w:left="1418" w:hanging="425"/>
        <w:jc w:val="both"/>
      </w:pPr>
      <w:r>
        <w:t>законосъобразно преструктуриране на някоя от Страните като юридическо лице;</w:t>
      </w:r>
    </w:p>
    <w:p>
      <w:pPr>
        <w:numPr>
          <w:ilvl w:val="0"/>
          <w:numId w:val="35"/>
        </w:numPr>
        <w:ind w:left="1418" w:hanging="425"/>
        <w:jc w:val="both"/>
      </w:pPr>
      <w:r>
        <w:t>при разпореждане на компетентен орган по смисъла на чл.10, ал.1 от  Закона за опазване на околната среда;</w:t>
      </w:r>
    </w:p>
    <w:p>
      <w:pPr>
        <w:numPr>
          <w:ilvl w:val="0"/>
          <w:numId w:val="35"/>
        </w:numPr>
        <w:ind w:left="1418" w:hanging="425"/>
        <w:jc w:val="both"/>
      </w:pPr>
      <w:r>
        <w:t>случаите на непредоставена разполагаемост за студен резерв, вследствие изпълнение на лицензионни задължения по топлоснабдяване</w:t>
      </w:r>
    </w:p>
    <w:p>
      <w:pPr>
        <w:ind w:left="993"/>
        <w:jc w:val="both"/>
      </w:pPr>
    </w:p>
    <w:p>
      <w:pPr>
        <w:pStyle w:val="Heading4"/>
        <w:keepNext w:val="0"/>
        <w:keepLines/>
        <w:tabs>
          <w:tab w:val="num" w:pos="426"/>
        </w:tabs>
        <w:spacing w:before="60" w:line="264" w:lineRule="auto"/>
        <w:jc w:val="both"/>
        <w:rPr>
          <w:lang w:val="ru-RU"/>
        </w:rPr>
      </w:pPr>
      <w:r>
        <w:rPr>
          <w:lang w:val="ru-RU"/>
        </w:rPr>
        <w:lastRenderedPageBreak/>
        <w:t>(3) Страната, заявяваща Форс мажор, е длъжна да изпрати известие до другата Страна за настъпването и края на събитието или обстоятелството във възможно най-кратък срок, но при всички случаи не по-късно от 48 часа след като е разбрала за Форсмажорното събитие. Никоя от страните няма право да предяви освобождаване от Форс мажор през периода от време между датата, на която известието е трябвало надлежно да бъде направено съгласно този член, и датата, на която известието е получено действително от не деклариращата Страна.</w:t>
      </w:r>
    </w:p>
    <w:p>
      <w:pPr>
        <w:pStyle w:val="Heading4"/>
        <w:keepNext w:val="0"/>
        <w:keepLines/>
        <w:tabs>
          <w:tab w:val="num" w:pos="426"/>
        </w:tabs>
        <w:spacing w:before="60" w:line="264" w:lineRule="auto"/>
        <w:jc w:val="both"/>
        <w:rPr>
          <w:lang w:val="ru-RU"/>
        </w:rPr>
      </w:pPr>
      <w:r>
        <w:rPr>
          <w:lang w:val="ru-RU"/>
        </w:rPr>
        <w:t>(4)</w:t>
      </w:r>
      <w:r>
        <w:rPr>
          <w:lang w:val="ru-RU"/>
        </w:rPr>
        <w:tab/>
        <w:t>По време на Форсмажорно събитие всяка Страна покрива разходите си, направени в резултат на събитието. Страната, заявяваща Форс мажор, не се освобождава от своите задължения по договора, ако тази Страна е била в закъснение към момента на настъпване на Форсмажорното събитие.</w:t>
      </w:r>
    </w:p>
    <w:p>
      <w:pPr>
        <w:pStyle w:val="Heading4"/>
        <w:keepNext w:val="0"/>
        <w:keepLines/>
        <w:tabs>
          <w:tab w:val="num" w:pos="426"/>
        </w:tabs>
        <w:spacing w:before="60" w:line="264" w:lineRule="auto"/>
        <w:jc w:val="both"/>
        <w:rPr>
          <w:lang w:val="ru-RU"/>
        </w:rPr>
      </w:pPr>
      <w:r>
        <w:rPr>
          <w:lang w:val="ru-RU"/>
        </w:rPr>
        <w:t xml:space="preserve">(5) </w:t>
      </w:r>
      <w:r>
        <w:rPr>
          <w:lang w:val="ru-RU"/>
        </w:rPr>
        <w:tab/>
        <w:t>Всеки период от време, определен в договора за изпълнение на задължение, се удължава с период, равен на този, през който Форсмажорното събитие засяга това задължение, и срокът се удължава съответно.</w:t>
      </w:r>
    </w:p>
    <w:p>
      <w:pPr>
        <w:pStyle w:val="Heading4"/>
        <w:keepNext w:val="0"/>
        <w:keepLines/>
        <w:tabs>
          <w:tab w:val="num" w:pos="426"/>
        </w:tabs>
        <w:spacing w:before="60" w:line="264" w:lineRule="auto"/>
        <w:jc w:val="both"/>
        <w:rPr>
          <w:lang w:val="ru-RU"/>
        </w:rPr>
      </w:pPr>
      <w:r>
        <w:rPr>
          <w:lang w:val="ru-RU"/>
        </w:rPr>
        <w:t xml:space="preserve">(6) </w:t>
      </w:r>
      <w:r>
        <w:rPr>
          <w:lang w:val="ru-RU"/>
        </w:rPr>
        <w:tab/>
        <w:t>Страните трябва да положат разумни усилия, за да намалят последствията от Форсмажорното събитие, и да проведат консултации за разработване и изпълнение на план за отстраняване на последиците, с цел свеждане до минимум на загубите на всяка от страните.</w:t>
      </w:r>
    </w:p>
    <w:p>
      <w:pPr>
        <w:jc w:val="both"/>
        <w:rPr>
          <w:lang w:val="ru-RU"/>
        </w:rPr>
      </w:pPr>
    </w:p>
    <w:p>
      <w:pPr>
        <w:ind w:firstLine="709"/>
        <w:jc w:val="both"/>
        <w:rPr>
          <w:b/>
        </w:rPr>
      </w:pPr>
      <w:r>
        <w:rPr>
          <w:b/>
        </w:rPr>
        <w:t>9.</w:t>
      </w:r>
      <w:r>
        <w:rPr>
          <w:b/>
        </w:rPr>
        <w:tab/>
        <w:t>ПРЕКРАТЯВАНЕ</w:t>
      </w:r>
    </w:p>
    <w:p>
      <w:pPr>
        <w:jc w:val="both"/>
      </w:pPr>
    </w:p>
    <w:p>
      <w:pPr>
        <w:keepLines/>
        <w:spacing w:before="120" w:line="264" w:lineRule="auto"/>
        <w:jc w:val="both"/>
        <w:outlineLvl w:val="2"/>
        <w:rPr>
          <w:bCs/>
        </w:rPr>
      </w:pPr>
      <w:r>
        <w:rPr>
          <w:b/>
          <w:bCs/>
        </w:rPr>
        <w:t>Чл.34</w:t>
      </w:r>
    </w:p>
    <w:p>
      <w:pPr>
        <w:keepLines/>
        <w:spacing w:line="264" w:lineRule="auto"/>
        <w:jc w:val="both"/>
        <w:outlineLvl w:val="2"/>
        <w:rPr>
          <w:bCs/>
        </w:rPr>
      </w:pPr>
      <w:r>
        <w:rPr>
          <w:bCs/>
        </w:rPr>
        <w:t>Този договор може да бъде прекратен:</w:t>
      </w:r>
    </w:p>
    <w:p>
      <w:pPr>
        <w:pStyle w:val="Heading4"/>
        <w:keepNext w:val="0"/>
        <w:keepLines/>
        <w:numPr>
          <w:ilvl w:val="3"/>
          <w:numId w:val="23"/>
        </w:numPr>
        <w:tabs>
          <w:tab w:val="clear" w:pos="889"/>
          <w:tab w:val="num" w:pos="426"/>
        </w:tabs>
        <w:spacing w:after="0" w:line="264" w:lineRule="auto"/>
        <w:ind w:left="0" w:firstLine="0"/>
        <w:jc w:val="both"/>
      </w:pPr>
      <w:r>
        <w:rPr>
          <w:lang w:val="ru-RU"/>
        </w:rPr>
        <w:t>В случай, че някоя от страните не изпълни кое да е свое задължение по този договор, освен когато неизпълнението е несъществено с оглед на материалния интерес на кредитора, с 5-дневно писмено предизвестие с предупреждението, че ако до изтичане на срока на предизвестието изпълнението не е налице, договорът ще се счита за прекратен</w:t>
      </w:r>
      <w:r>
        <w:t>.</w:t>
      </w:r>
    </w:p>
    <w:p>
      <w:pPr>
        <w:pStyle w:val="BodyText"/>
        <w:spacing w:after="0"/>
      </w:pPr>
    </w:p>
    <w:p>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В случай, че някоя от страните не изпълни кое да е свое задължение за плащане по този договор с 10-дневно писмено предизвестие при условията на предходната алинея.</w:t>
      </w:r>
    </w:p>
    <w:p>
      <w:pPr>
        <w:pStyle w:val="BodyText"/>
        <w:spacing w:after="0"/>
        <w:rPr>
          <w:lang w:val="ru-RU"/>
        </w:rPr>
      </w:pPr>
    </w:p>
    <w:p>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При Форсмажорно събитие, което продължава повече от 20 (двадесет) дни, с 3-дневно предизвестие от всяка от страните.</w:t>
      </w:r>
    </w:p>
    <w:p>
      <w:pPr>
        <w:pStyle w:val="BodyText"/>
        <w:rPr>
          <w:lang w:val="ru-RU"/>
        </w:rPr>
      </w:pPr>
    </w:p>
    <w:p>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От всяка от страните при наличие на обективни обстоятелства възпрепятстващи изпълнението на задълженията по този договор, в т.ч. вследствие на промяна в комплексното разрешително на горивната инсталация и/или поради разпореждане  на  компетентен орган при наличие на обстоятелства по чл.73, ал.1, т.5 от Закона за енергетика. В този случай никоя от страните не дължи обезщетение за вреди, като операторът заплаща предоставения до момента на прекратяване студен резерв.</w:t>
      </w:r>
    </w:p>
    <w:p/>
    <w:p>
      <w:pPr>
        <w:rPr>
          <w:b/>
          <w:bCs/>
        </w:rPr>
      </w:pPr>
      <w:r>
        <w:rPr>
          <w:b/>
          <w:bCs/>
        </w:rPr>
        <w:br w:type="page"/>
      </w:r>
    </w:p>
    <w:p>
      <w:pPr>
        <w:keepLines/>
        <w:spacing w:before="120" w:line="264" w:lineRule="auto"/>
        <w:jc w:val="both"/>
        <w:outlineLvl w:val="2"/>
        <w:rPr>
          <w:bCs/>
          <w:lang w:val="ru-RU"/>
        </w:rPr>
      </w:pPr>
      <w:r>
        <w:rPr>
          <w:b/>
          <w:bCs/>
        </w:rPr>
        <w:lastRenderedPageBreak/>
        <w:t>Чл.3</w:t>
      </w:r>
      <w:r>
        <w:rPr>
          <w:b/>
          <w:bCs/>
          <w:lang w:val="ru-RU"/>
        </w:rPr>
        <w:t>5</w:t>
      </w:r>
    </w:p>
    <w:p>
      <w:pPr>
        <w:pStyle w:val="Heading4"/>
        <w:keepNext w:val="0"/>
        <w:keepLines/>
        <w:spacing w:before="60" w:after="0" w:line="264" w:lineRule="auto"/>
        <w:jc w:val="both"/>
        <w:rPr>
          <w:lang w:val="ru-RU"/>
        </w:rPr>
      </w:pPr>
      <w:r>
        <w:rPr>
          <w:lang w:val="ru-RU"/>
        </w:rPr>
        <w:t>(1) В случай на прекратяване на договора от една от страните поради неизпълнение на задълженията на другата страна, неизправната страна обезщетява другата за всички понесени от нея  вреди поради прекратяването за остатъка от срока на договора.</w:t>
      </w:r>
    </w:p>
    <w:p>
      <w:pPr>
        <w:pStyle w:val="Heading4"/>
        <w:keepNext w:val="0"/>
        <w:keepLines/>
        <w:spacing w:before="60" w:line="264" w:lineRule="auto"/>
        <w:jc w:val="both"/>
        <w:rPr>
          <w:lang w:val="ru-RU"/>
        </w:rPr>
      </w:pPr>
      <w:r>
        <w:rPr>
          <w:lang w:val="ru-RU"/>
        </w:rPr>
        <w:t>(2) В случай на прекратяване поради Форс мажор, никоя от страните не компенсира другата за последствия от подобно прекратяване.</w:t>
      </w:r>
    </w:p>
    <w:p>
      <w:pPr>
        <w:ind w:left="705" w:hanging="705"/>
        <w:jc w:val="both"/>
      </w:pPr>
    </w:p>
    <w:p>
      <w:pPr>
        <w:ind w:left="705"/>
        <w:jc w:val="both"/>
        <w:rPr>
          <w:b/>
        </w:rPr>
      </w:pPr>
      <w:r>
        <w:rPr>
          <w:b/>
        </w:rPr>
        <w:t>10.</w:t>
      </w:r>
      <w:r>
        <w:rPr>
          <w:b/>
        </w:rPr>
        <w:tab/>
        <w:t>ОТГОВОРНОСТ И ОБЕЗЩЕТЕНИЯ</w:t>
      </w:r>
    </w:p>
    <w:p>
      <w:pPr>
        <w:jc w:val="both"/>
      </w:pPr>
    </w:p>
    <w:p>
      <w:pPr>
        <w:jc w:val="both"/>
        <w:rPr>
          <w:b/>
          <w:lang w:val="ru-RU"/>
        </w:rPr>
      </w:pPr>
      <w:r>
        <w:rPr>
          <w:b/>
        </w:rPr>
        <w:t>Чл.3</w:t>
      </w:r>
      <w:r>
        <w:rPr>
          <w:b/>
          <w:lang w:val="ru-RU"/>
        </w:rPr>
        <w:t>6</w:t>
      </w:r>
    </w:p>
    <w:p>
      <w:pPr>
        <w:jc w:val="both"/>
      </w:pPr>
      <w:r>
        <w:t>Никоя от страните не носи отговорност за вреди, понесени от другата Страна,  които не произтичат от неизпълнение на задължение от Страна по този договор.</w:t>
      </w:r>
    </w:p>
    <w:p>
      <w:pPr>
        <w:jc w:val="both"/>
      </w:pPr>
    </w:p>
    <w:p>
      <w:pPr>
        <w:jc w:val="both"/>
        <w:rPr>
          <w:lang w:val="ru-RU"/>
        </w:rPr>
      </w:pPr>
      <w:r>
        <w:rPr>
          <w:b/>
        </w:rPr>
        <w:t>Чл.3</w:t>
      </w:r>
      <w:r>
        <w:rPr>
          <w:b/>
          <w:lang w:val="ru-RU"/>
        </w:rPr>
        <w:t>7</w:t>
      </w:r>
    </w:p>
    <w:p>
      <w:pPr>
        <w:jc w:val="both"/>
      </w:pPr>
      <w:r>
        <w:t>ОПЕРАТОРЪТ плаща на ДОСТАВЧИКА причинените вреди поради техническа неизправност на неговите съоръжения, несвоевременни и/или неправилни действия на оперативния му персонал.</w:t>
      </w:r>
    </w:p>
    <w:p>
      <w:pPr>
        <w:jc w:val="both"/>
        <w:rPr>
          <w:b/>
        </w:rPr>
      </w:pPr>
    </w:p>
    <w:p>
      <w:pPr>
        <w:jc w:val="both"/>
        <w:rPr>
          <w:lang w:val="ru-RU"/>
        </w:rPr>
      </w:pPr>
      <w:r>
        <w:rPr>
          <w:b/>
        </w:rPr>
        <w:t>Чл.3</w:t>
      </w:r>
      <w:r>
        <w:rPr>
          <w:b/>
          <w:lang w:val="ru-RU"/>
        </w:rPr>
        <w:t>8</w:t>
      </w:r>
    </w:p>
    <w:p>
      <w:pPr>
        <w:jc w:val="both"/>
      </w:pPr>
      <w:r>
        <w:t>ДОСТАВЧИКЪТ плаща на ОПЕРАТОРА причинените вреди поради техническа неизправност на неговите съоръжения, несвоевременни и/или неправилни действия на оперативния му персонал, включително подадена от него недостоверна информация.</w:t>
      </w:r>
    </w:p>
    <w:p>
      <w:pPr>
        <w:ind w:firstLine="709"/>
        <w:jc w:val="both"/>
        <w:rPr>
          <w:lang w:val="ru-RU"/>
        </w:rPr>
      </w:pPr>
    </w:p>
    <w:p>
      <w:pPr>
        <w:ind w:firstLine="709"/>
        <w:jc w:val="both"/>
      </w:pPr>
      <w:r>
        <w:rPr>
          <w:b/>
        </w:rPr>
        <w:t>11.</w:t>
      </w:r>
      <w:r>
        <w:rPr>
          <w:b/>
        </w:rPr>
        <w:tab/>
        <w:t xml:space="preserve"> РЕШАВАНЕ НА СПОРОВ</w:t>
      </w:r>
      <w:r>
        <w:t>Е</w:t>
      </w:r>
    </w:p>
    <w:p>
      <w:pPr>
        <w:jc w:val="both"/>
      </w:pPr>
    </w:p>
    <w:p>
      <w:pPr>
        <w:jc w:val="both"/>
        <w:rPr>
          <w:b/>
        </w:rPr>
      </w:pPr>
      <w:r>
        <w:rPr>
          <w:b/>
        </w:rPr>
        <w:t>Чл. 39</w:t>
      </w:r>
    </w:p>
    <w:p>
      <w:pPr>
        <w:jc w:val="both"/>
      </w:pPr>
      <w:r>
        <w:t>Всеки спор по прилагането и изпълнението на този договор, неговото нарушаване, прекратяване, действителност или тълкуване, ще се отнася за разрешаване до компетентния съд в гр. София.</w:t>
      </w:r>
    </w:p>
    <w:p>
      <w:pPr>
        <w:jc w:val="both"/>
      </w:pPr>
    </w:p>
    <w:p>
      <w:pPr>
        <w:ind w:firstLine="709"/>
        <w:jc w:val="both"/>
        <w:rPr>
          <w:b/>
          <w:bCs/>
        </w:rPr>
      </w:pPr>
      <w:r>
        <w:rPr>
          <w:b/>
          <w:bCs/>
        </w:rPr>
        <w:t>12.</w:t>
      </w:r>
      <w:r>
        <w:rPr>
          <w:b/>
          <w:bCs/>
        </w:rPr>
        <w:tab/>
        <w:t>ОБЩИ РАЗПОРЕДБИ</w:t>
      </w:r>
    </w:p>
    <w:p>
      <w:pPr>
        <w:jc w:val="both"/>
      </w:pPr>
    </w:p>
    <w:p>
      <w:pPr>
        <w:jc w:val="both"/>
        <w:rPr>
          <w:b/>
        </w:rPr>
      </w:pPr>
      <w:r>
        <w:rPr>
          <w:b/>
        </w:rPr>
        <w:t>Чл. 40</w:t>
      </w:r>
    </w:p>
    <w:p>
      <w:pPr>
        <w:jc w:val="both"/>
        <w:rPr>
          <w:lang w:val="ru-RU"/>
        </w:rPr>
      </w:pPr>
      <w:r>
        <w:t>Всяка разпоредба на този договор е отделна от другите и ако една или повече стане или бъде обявена за нищожна, недействителна или незаконна или по някакъв начин не е разрешено да се изпълнява, това няма да засегне валидността и законността на другите и страните ще положат усилия да ги заменят с нова/и разпоредби, която/които да бъдат в съответствие със законите в Република България.</w:t>
      </w:r>
    </w:p>
    <w:p>
      <w:pPr>
        <w:jc w:val="both"/>
        <w:rPr>
          <w:lang w:val="ru-RU"/>
        </w:rPr>
      </w:pPr>
    </w:p>
    <w:p>
      <w:pPr>
        <w:jc w:val="both"/>
        <w:rPr>
          <w:b/>
        </w:rPr>
      </w:pPr>
      <w:r>
        <w:rPr>
          <w:b/>
        </w:rPr>
        <w:t>Чл. 41</w:t>
      </w:r>
    </w:p>
    <w:p>
      <w:pPr>
        <w:jc w:val="both"/>
      </w:pPr>
      <w:r>
        <w:t>ДОСТАВЧИКЪТ няма право да бъде заместен по този договор или по някакъв начин да прехвърли част или всички права и/или задължения по него или по друг начин да се освободи от изпълнението му без предварително писмено съгласие от страна на ОПЕРАТОРА.</w:t>
      </w:r>
    </w:p>
    <w:p>
      <w:pPr>
        <w:keepLines/>
        <w:ind w:left="710"/>
        <w:outlineLvl w:val="2"/>
        <w:rPr>
          <w:bCs/>
        </w:rPr>
      </w:pPr>
    </w:p>
    <w:p>
      <w:pPr>
        <w:rPr>
          <w:b/>
        </w:rPr>
      </w:pPr>
      <w:r>
        <w:rPr>
          <w:b/>
        </w:rPr>
        <w:br w:type="page"/>
      </w:r>
    </w:p>
    <w:p>
      <w:pPr>
        <w:jc w:val="both"/>
        <w:rPr>
          <w:b/>
        </w:rPr>
      </w:pPr>
      <w:r>
        <w:rPr>
          <w:b/>
        </w:rPr>
        <w:lastRenderedPageBreak/>
        <w:t>Чл.42</w:t>
      </w:r>
    </w:p>
    <w:p>
      <w:pPr>
        <w:pStyle w:val="Heading4"/>
        <w:keepNext w:val="0"/>
        <w:keepLines/>
        <w:spacing w:before="60" w:line="264" w:lineRule="auto"/>
        <w:jc w:val="both"/>
        <w:rPr>
          <w:lang w:val="ru-RU"/>
        </w:rPr>
      </w:pPr>
      <w:r>
        <w:rPr>
          <w:lang w:val="ru-RU"/>
        </w:rPr>
        <w:t>(1) Освен ако не е разрешено от закона, ОПЕРАТОРЪТ няма право да бъде заместен по този договор или по някакъв начин да прехвърли част или всички права и/или задължения по него.</w:t>
      </w:r>
    </w:p>
    <w:p>
      <w:pPr>
        <w:pStyle w:val="Heading4"/>
        <w:keepNext w:val="0"/>
        <w:keepLines/>
        <w:spacing w:after="0" w:line="264" w:lineRule="auto"/>
        <w:jc w:val="both"/>
      </w:pPr>
      <w:r>
        <w:rPr>
          <w:lang w:val="ru-RU"/>
        </w:rPr>
        <w:t>(2) В случай, че се наложи преструктуриране на ОПЕРАТОРА  в изпълнение на български закон, неговите задълженията ще се изпълняват от дружествата правоприемници.</w:t>
      </w:r>
    </w:p>
    <w:p>
      <w:pPr>
        <w:pStyle w:val="BodyText"/>
        <w:rPr>
          <w:lang w:val="ru-RU"/>
        </w:rPr>
      </w:pPr>
    </w:p>
    <w:p>
      <w:pPr>
        <w:jc w:val="both"/>
        <w:rPr>
          <w:b/>
        </w:rPr>
      </w:pPr>
      <w:r>
        <w:rPr>
          <w:b/>
        </w:rPr>
        <w:t xml:space="preserve">Чл.43 </w:t>
      </w:r>
    </w:p>
    <w:p>
      <w:pPr>
        <w:keepLines/>
        <w:spacing w:line="264" w:lineRule="auto"/>
        <w:jc w:val="both"/>
        <w:outlineLvl w:val="2"/>
        <w:rPr>
          <w:bCs/>
          <w:lang w:val="ru-RU"/>
        </w:rPr>
      </w:pPr>
      <w:r>
        <w:rPr>
          <w:bCs/>
        </w:rPr>
        <w:t>Изменения  на договора, както и добавяне на приложения към него може да се правят само под формата на писмени споразумения, подписани от двете страни.</w:t>
      </w:r>
    </w:p>
    <w:p>
      <w:pPr>
        <w:keepLines/>
        <w:spacing w:line="264" w:lineRule="auto"/>
        <w:jc w:val="both"/>
        <w:outlineLvl w:val="2"/>
        <w:rPr>
          <w:bCs/>
          <w:lang w:val="ru-RU"/>
        </w:rPr>
      </w:pPr>
    </w:p>
    <w:p>
      <w:pPr>
        <w:jc w:val="both"/>
        <w:rPr>
          <w:b/>
        </w:rPr>
      </w:pPr>
      <w:r>
        <w:rPr>
          <w:b/>
        </w:rPr>
        <w:t>Чл.44</w:t>
      </w:r>
    </w:p>
    <w:p>
      <w:pPr>
        <w:pStyle w:val="Heading4"/>
        <w:keepNext w:val="0"/>
        <w:keepLines/>
        <w:spacing w:before="60" w:line="264" w:lineRule="auto"/>
        <w:jc w:val="both"/>
        <w:rPr>
          <w:lang w:val="ru-RU"/>
        </w:rPr>
      </w:pPr>
      <w:r>
        <w:rPr>
          <w:lang w:val="ru-RU"/>
        </w:rPr>
        <w:t>(1) Всяко предложение или съобщение между Страните следва да бъде в писмена форма, предадено лично или по пощата или факс. Съобщение, изпратено по факс се смята за предадено, ако регистриращото устройство на телекса или на факса го удостовери.</w:t>
      </w:r>
    </w:p>
    <w:p>
      <w:pPr>
        <w:pStyle w:val="Heading4"/>
        <w:keepNext w:val="0"/>
        <w:keepLines/>
        <w:spacing w:before="60" w:line="264" w:lineRule="auto"/>
        <w:jc w:val="both"/>
        <w:rPr>
          <w:lang w:val="ru-RU"/>
        </w:rPr>
      </w:pPr>
      <w:r>
        <w:rPr>
          <w:lang w:val="ru-RU"/>
        </w:rPr>
        <w:t xml:space="preserve">(2) Оперативните нареждания или автоматичните задания се съобщават съгласно Наредба </w:t>
      </w:r>
      <w:r>
        <w:t>№ РД-16-57 от 28.01.2008 г.</w:t>
      </w:r>
      <w:r>
        <w:rPr>
          <w:lang w:val="ru-RU"/>
        </w:rPr>
        <w:t xml:space="preserve"> за дейността на операторите на електроенергийната система и на разпределителните мрежи, както и на оперативния дежурен персонал от електроенергийните обекти и електрическите уредби на потребителите съгласно чл. 115 от ЗЕ.</w:t>
      </w:r>
    </w:p>
    <w:p>
      <w:pPr>
        <w:pStyle w:val="Heading4"/>
        <w:keepNext w:val="0"/>
        <w:keepLines/>
        <w:spacing w:before="60" w:line="264" w:lineRule="auto"/>
        <w:jc w:val="both"/>
        <w:rPr>
          <w:lang w:val="ru-RU"/>
        </w:rPr>
      </w:pPr>
      <w:r>
        <w:rPr>
          <w:lang w:val="ru-RU"/>
        </w:rPr>
        <w:t>(3) Адресите за кореспонденция на страните са:</w:t>
      </w:r>
    </w:p>
    <w:p>
      <w:pPr>
        <w:jc w:val="both"/>
        <w:rPr>
          <w:b/>
          <w:lang w:val="ru-RU"/>
        </w:rPr>
      </w:pPr>
    </w:p>
    <w:p>
      <w:pPr>
        <w:jc w:val="both"/>
        <w:rPr>
          <w:b/>
          <w:lang w:val="ru-RU"/>
        </w:rPr>
      </w:pPr>
    </w:p>
    <w:p>
      <w:pPr>
        <w:jc w:val="both"/>
        <w:rPr>
          <w:b/>
        </w:rPr>
      </w:pPr>
      <w:r>
        <w:rPr>
          <w:b/>
        </w:rPr>
        <w:t>ДОСТАВЧИК:</w:t>
      </w:r>
      <w:r>
        <w:rPr>
          <w:b/>
        </w:rPr>
        <w:tab/>
      </w:r>
      <w:r>
        <w:rPr>
          <w:b/>
        </w:rPr>
        <w:tab/>
      </w:r>
      <w:r>
        <w:rPr>
          <w:b/>
        </w:rPr>
        <w:tab/>
      </w:r>
      <w:r>
        <w:rPr>
          <w:b/>
        </w:rPr>
        <w:tab/>
      </w:r>
      <w:r>
        <w:rPr>
          <w:b/>
        </w:rPr>
        <w:tab/>
        <w:t>ОПЕРАТОР:</w:t>
      </w:r>
    </w:p>
    <w:p>
      <w:pPr>
        <w:jc w:val="both"/>
      </w:pPr>
      <w:r>
        <w:t>……..</w:t>
      </w:r>
      <w:r>
        <w:tab/>
      </w:r>
      <w:r>
        <w:tab/>
      </w:r>
      <w:r>
        <w:tab/>
      </w:r>
      <w:r>
        <w:tab/>
      </w:r>
      <w:r>
        <w:tab/>
      </w:r>
      <w:r>
        <w:tab/>
      </w:r>
      <w:r>
        <w:tab/>
        <w:t xml:space="preserve">София 1404,   </w:t>
      </w:r>
    </w:p>
    <w:p>
      <w:pPr>
        <w:jc w:val="both"/>
      </w:pPr>
      <w:r>
        <w:t>………</w:t>
      </w:r>
      <w:r>
        <w:tab/>
      </w:r>
      <w:r>
        <w:tab/>
      </w:r>
      <w:r>
        <w:tab/>
      </w:r>
      <w:r>
        <w:tab/>
      </w:r>
      <w:r>
        <w:tab/>
      </w:r>
      <w:r>
        <w:tab/>
        <w:t>ЕСО ЕАД</w:t>
      </w:r>
    </w:p>
    <w:p>
      <w:pPr>
        <w:jc w:val="both"/>
      </w:pPr>
      <w:r>
        <w:tab/>
      </w:r>
      <w:r>
        <w:tab/>
      </w:r>
      <w:r>
        <w:tab/>
      </w:r>
      <w:r>
        <w:tab/>
      </w:r>
      <w:r>
        <w:tab/>
      </w:r>
      <w:r>
        <w:rPr>
          <w:lang w:val="ru-RU"/>
        </w:rPr>
        <w:tab/>
      </w:r>
      <w:r>
        <w:rPr>
          <w:lang w:val="ru-RU"/>
        </w:rPr>
        <w:tab/>
      </w:r>
      <w:r>
        <w:t xml:space="preserve">бул. Гоце Делчев №105, </w:t>
      </w:r>
    </w:p>
    <w:p>
      <w:pPr>
        <w:jc w:val="both"/>
      </w:pPr>
      <w:r>
        <w:t>факс:………</w:t>
      </w:r>
      <w:r>
        <w:tab/>
      </w:r>
      <w:r>
        <w:tab/>
      </w:r>
      <w:r>
        <w:tab/>
      </w:r>
      <w:r>
        <w:tab/>
      </w:r>
      <w:r>
        <w:tab/>
      </w:r>
      <w:r>
        <w:rPr>
          <w:lang w:val="ru-RU"/>
        </w:rPr>
        <w:tab/>
      </w:r>
      <w:r>
        <w:t xml:space="preserve">факс: 02/ 96 26 189 </w:t>
      </w:r>
    </w:p>
    <w:p>
      <w:pPr>
        <w:jc w:val="both"/>
      </w:pPr>
      <w:r>
        <w:t>Тел. :……</w:t>
      </w:r>
      <w:r>
        <w:tab/>
      </w:r>
      <w:r>
        <w:tab/>
      </w:r>
      <w:r>
        <w:tab/>
      </w:r>
      <w:r>
        <w:tab/>
      </w:r>
      <w:r>
        <w:tab/>
      </w:r>
      <w:r>
        <w:tab/>
        <w:t>Тел.:  02/96 96 802</w:t>
      </w:r>
      <w:r>
        <w:tab/>
      </w:r>
      <w:r>
        <w:tab/>
      </w:r>
    </w:p>
    <w:p>
      <w:pPr>
        <w:jc w:val="both"/>
        <w:rPr>
          <w:b/>
          <w:lang w:val="ru-RU"/>
        </w:rPr>
      </w:pPr>
    </w:p>
    <w:p>
      <w:pPr>
        <w:jc w:val="both"/>
        <w:rPr>
          <w:b/>
          <w:lang w:val="ru-RU"/>
        </w:rPr>
      </w:pPr>
    </w:p>
    <w:p>
      <w:pPr>
        <w:jc w:val="both"/>
      </w:pPr>
      <w:r>
        <w:t>В случай на промяна на адреса, Страната е длъжна да уведоми писмено другата Страна по Договора 15 дни преди промяната.</w:t>
      </w:r>
    </w:p>
    <w:p>
      <w:pPr>
        <w:jc w:val="both"/>
      </w:pPr>
    </w:p>
    <w:p>
      <w:pPr>
        <w:pStyle w:val="Heading2"/>
        <w:keepNext w:val="0"/>
        <w:jc w:val="both"/>
      </w:pPr>
      <w:r>
        <w:rPr>
          <w:b/>
        </w:rPr>
        <w:t>Чл. 4</w:t>
      </w:r>
      <w:r>
        <w:rPr>
          <w:b/>
          <w:lang w:val="ru-RU"/>
        </w:rPr>
        <w:t>5</w:t>
      </w:r>
      <w:r>
        <w:t xml:space="preserve"> Настоящият договор се подписа в два еднакви екземпляра по един за всяка от  Страните.</w:t>
      </w:r>
    </w:p>
    <w:p>
      <w:pPr>
        <w:jc w:val="both"/>
        <w:rPr>
          <w:lang w:val="ru-RU"/>
        </w:rPr>
      </w:pPr>
    </w:p>
    <w:p>
      <w:pPr>
        <w:jc w:val="both"/>
        <w:rPr>
          <w:lang w:val="ru-RU"/>
        </w:rPr>
      </w:pPr>
    </w:p>
    <w:p>
      <w:pPr>
        <w:jc w:val="both"/>
        <w:rPr>
          <w:lang w:val="ru-RU"/>
        </w:rPr>
      </w:pPr>
    </w:p>
    <w:p>
      <w:pPr>
        <w:jc w:val="both"/>
      </w:pPr>
      <w:r>
        <w:t>СПИСЪК НА ПРИЛОЖЕНИЯТА</w:t>
      </w:r>
    </w:p>
    <w:p>
      <w:pPr>
        <w:jc w:val="both"/>
      </w:pPr>
    </w:p>
    <w:p>
      <w:pPr>
        <w:jc w:val="both"/>
      </w:pPr>
    </w:p>
    <w:p>
      <w:pPr>
        <w:jc w:val="both"/>
      </w:pPr>
      <w:r>
        <w:rPr>
          <w:b/>
        </w:rPr>
        <w:t>Приложение 1.</w:t>
      </w:r>
      <w:r>
        <w:t xml:space="preserve"> Договорени количества нетна разполагаемост за студен резерв</w:t>
      </w:r>
    </w:p>
    <w:p>
      <w:pPr>
        <w:jc w:val="both"/>
      </w:pPr>
    </w:p>
    <w:p>
      <w:pPr>
        <w:jc w:val="both"/>
      </w:pPr>
      <w:r>
        <w:rPr>
          <w:b/>
          <w:bCs/>
        </w:rPr>
        <w:t xml:space="preserve">Приложение 2. </w:t>
      </w:r>
      <w:r>
        <w:t>Характеристики на блоковете за студен резерв.</w:t>
      </w:r>
    </w:p>
    <w:p>
      <w:pPr>
        <w:jc w:val="both"/>
        <w:rPr>
          <w:b/>
        </w:rPr>
      </w:pPr>
    </w:p>
    <w:p>
      <w:pPr>
        <w:jc w:val="both"/>
      </w:pPr>
      <w:r>
        <w:rPr>
          <w:b/>
        </w:rPr>
        <w:t>Приложение 3.</w:t>
      </w:r>
      <w:r>
        <w:t xml:space="preserve"> Списък на средствата за измерване на предоставена мощност. </w:t>
      </w:r>
    </w:p>
    <w:p>
      <w:pPr>
        <w:jc w:val="both"/>
        <w:rPr>
          <w:b/>
        </w:rPr>
      </w:pPr>
    </w:p>
    <w:p>
      <w:pPr>
        <w:jc w:val="both"/>
      </w:pPr>
      <w:r>
        <w:rPr>
          <w:b/>
        </w:rPr>
        <w:t>Приложение 4.</w:t>
      </w:r>
      <w:r>
        <w:t xml:space="preserve">  Договорени количествени показатели на въглищата/течното гориво за студен резерв и за непрекъснато производство</w:t>
      </w:r>
    </w:p>
    <w:p>
      <w:pPr>
        <w:jc w:val="both"/>
        <w:rPr>
          <w:b/>
        </w:rPr>
      </w:pPr>
    </w:p>
    <w:p>
      <w:pPr>
        <w:jc w:val="both"/>
      </w:pPr>
      <w:r>
        <w:rPr>
          <w:b/>
        </w:rPr>
        <w:t>Приложение 5.</w:t>
      </w:r>
      <w:r>
        <w:t xml:space="preserve"> Тръжно предложение на ДОСТАВЧИКА </w:t>
      </w:r>
    </w:p>
    <w:p>
      <w:pPr>
        <w:jc w:val="both"/>
      </w:pPr>
    </w:p>
    <w:p>
      <w:pPr>
        <w:jc w:val="both"/>
      </w:pPr>
    </w:p>
    <w:p>
      <w:pPr>
        <w:jc w:val="both"/>
      </w:pPr>
    </w:p>
    <w:p>
      <w:pPr>
        <w:jc w:val="both"/>
        <w:rPr>
          <w:b/>
          <w:bCs/>
        </w:rPr>
      </w:pPr>
    </w:p>
    <w:p>
      <w:pPr>
        <w:jc w:val="both"/>
        <w:rPr>
          <w:b/>
          <w:bCs/>
        </w:rPr>
      </w:pPr>
    </w:p>
    <w:p>
      <w:pPr>
        <w:rPr>
          <w:bCs/>
        </w:rPr>
      </w:pPr>
    </w:p>
    <w:p>
      <w:pPr>
        <w:jc w:val="both"/>
      </w:pPr>
      <w:r>
        <w:rPr>
          <w:b/>
        </w:rPr>
        <w:t>ЗА ДОСТАВЧИКА:</w:t>
      </w:r>
      <w:r>
        <w:rPr>
          <w:b/>
        </w:rPr>
        <w:tab/>
      </w:r>
      <w:r>
        <w:rPr>
          <w:b/>
        </w:rPr>
        <w:tab/>
      </w:r>
      <w:r>
        <w:rPr>
          <w:b/>
        </w:rPr>
        <w:tab/>
      </w:r>
      <w:r>
        <w:rPr>
          <w:b/>
        </w:rPr>
        <w:tab/>
      </w:r>
      <w:r>
        <w:rPr>
          <w:b/>
        </w:rPr>
        <w:tab/>
        <w:t>ЗА ОПЕРАТОРА</w:t>
      </w:r>
      <w:r>
        <w:t>:</w:t>
      </w:r>
      <w:r>
        <w:tab/>
      </w:r>
      <w:r>
        <w:tab/>
      </w:r>
      <w:r>
        <w:tab/>
      </w:r>
      <w:r>
        <w:tab/>
      </w:r>
      <w:r>
        <w:tab/>
      </w:r>
    </w:p>
    <w:p>
      <w:pPr>
        <w:jc w:val="both"/>
      </w:pPr>
      <w:r>
        <w:t xml:space="preserve">...................................... </w:t>
      </w:r>
      <w:r>
        <w:tab/>
      </w:r>
      <w:r>
        <w:tab/>
      </w:r>
      <w:r>
        <w:tab/>
      </w:r>
      <w:r>
        <w:tab/>
      </w:r>
      <w:r>
        <w:tab/>
        <w:t>....................................</w:t>
      </w:r>
    </w:p>
    <w:p>
      <w:pPr>
        <w:jc w:val="both"/>
      </w:pPr>
      <w:r>
        <w:tab/>
      </w:r>
      <w:r>
        <w:tab/>
      </w:r>
      <w:r>
        <w:tab/>
      </w:r>
      <w:r>
        <w:tab/>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rPr>
          <w:lang w:val="ru-RU"/>
        </w:rPr>
      </w:pPr>
      <w:r>
        <w:rPr>
          <w:lang w:val="ru-RU"/>
        </w:rPr>
        <w:br w:type="column"/>
      </w:r>
    </w:p>
    <w:p>
      <w:pPr>
        <w:jc w:val="both"/>
      </w:pPr>
    </w:p>
    <w:p>
      <w:pPr>
        <w:pStyle w:val="Heading4"/>
        <w:keepNext w:val="0"/>
        <w:keepLines/>
        <w:tabs>
          <w:tab w:val="num" w:pos="851"/>
        </w:tabs>
        <w:spacing w:before="60" w:line="264" w:lineRule="auto"/>
        <w:jc w:val="right"/>
        <w:rPr>
          <w:b/>
          <w:u w:val="single"/>
        </w:rPr>
      </w:pPr>
      <w:r>
        <w:rPr>
          <w:b/>
          <w:u w:val="single"/>
        </w:rPr>
        <w:t xml:space="preserve">Приложение №  </w:t>
      </w:r>
      <w:r>
        <w:rPr>
          <w:b/>
          <w:u w:val="single"/>
          <w:lang w:val="ru-RU"/>
        </w:rPr>
        <w:t>1</w:t>
      </w:r>
      <w:r>
        <w:rPr>
          <w:b/>
          <w:u w:val="single"/>
        </w:rPr>
        <w:t xml:space="preserve"> (Образец)</w:t>
      </w:r>
    </w:p>
    <w:p>
      <w:pPr>
        <w:pStyle w:val="BodyText"/>
        <w:rPr>
          <w:lang w:val="ru-RU"/>
        </w:rPr>
      </w:pPr>
    </w:p>
    <w:p>
      <w:pPr>
        <w:pStyle w:val="BodyText"/>
        <w:jc w:val="center"/>
        <w:rPr>
          <w:b/>
        </w:rPr>
      </w:pPr>
      <w:r>
        <w:rPr>
          <w:b/>
        </w:rPr>
        <w:t>ДОГОВОРЕНИ КОЛИЧЕСТВА</w:t>
      </w:r>
      <w:r>
        <w:t xml:space="preserve"> </w:t>
      </w:r>
      <w:r>
        <w:rPr>
          <w:b/>
        </w:rPr>
        <w:t>НЕТНА РАЗПОЛАГАЕМОСТ ЗА СТУДЕН РЕЗЕРВ</w:t>
      </w:r>
    </w:p>
    <w:p>
      <w:pPr>
        <w:pStyle w:val="BodyText"/>
      </w:pPr>
    </w:p>
    <w:p>
      <w:pPr>
        <w:ind w:left="1275"/>
        <w:rPr>
          <w:b/>
          <w:bCs/>
          <w:color w:val="000000"/>
          <w:u w:val="single"/>
        </w:rPr>
      </w:pPr>
      <w:r>
        <w:rPr>
          <w:b/>
          <w:bCs/>
          <w:color w:val="000000"/>
          <w:u w:val="single"/>
        </w:rPr>
        <w:t>за периода от 00:00 часа на …………….г.. до 24:00 часа на ……………….г.:</w:t>
      </w:r>
    </w:p>
    <w:p>
      <w:pPr>
        <w:ind w:left="1275"/>
        <w:rPr>
          <w:b/>
          <w:bCs/>
          <w:color w:val="000000"/>
          <w:u w:val="single"/>
        </w:rPr>
      </w:pPr>
    </w:p>
    <w:p>
      <w:pPr>
        <w:pStyle w:val="ListParagraph"/>
        <w:ind w:left="1275"/>
        <w:jc w:val="both"/>
        <w:rPr>
          <w:noProof/>
        </w:rPr>
      </w:pPr>
    </w:p>
    <w:tbl>
      <w:tblPr>
        <w:tblW w:w="106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418"/>
        <w:gridCol w:w="1417"/>
        <w:gridCol w:w="1418"/>
        <w:gridCol w:w="1417"/>
        <w:gridCol w:w="992"/>
        <w:gridCol w:w="756"/>
        <w:gridCol w:w="867"/>
      </w:tblGrid>
      <w:tr>
        <w:trPr>
          <w:trHeight w:val="633"/>
        </w:trPr>
        <w:tc>
          <w:tcPr>
            <w:tcW w:w="1134" w:type="dxa"/>
            <w:vMerge w:val="restart"/>
            <w:vAlign w:val="center"/>
          </w:tcPr>
          <w:p>
            <w:pPr>
              <w:spacing w:after="120"/>
              <w:ind w:left="33"/>
              <w:jc w:val="center"/>
              <w:rPr>
                <w:b/>
                <w:sz w:val="18"/>
                <w:szCs w:val="18"/>
                <w:lang w:val="en-US"/>
              </w:rPr>
            </w:pPr>
            <w:r>
              <w:rPr>
                <w:b/>
                <w:sz w:val="18"/>
                <w:szCs w:val="18"/>
              </w:rPr>
              <w:t>Доставчик</w:t>
            </w:r>
          </w:p>
          <w:p>
            <w:pPr>
              <w:spacing w:after="120"/>
              <w:ind w:left="33"/>
              <w:jc w:val="center"/>
              <w:rPr>
                <w:b/>
                <w:sz w:val="18"/>
                <w:szCs w:val="18"/>
              </w:rPr>
            </w:pPr>
            <w:r>
              <w:rPr>
                <w:b/>
                <w:sz w:val="18"/>
                <w:szCs w:val="18"/>
                <w:lang w:val="en-US"/>
              </w:rPr>
              <w:t>(</w:t>
            </w:r>
            <w:r>
              <w:rPr>
                <w:b/>
                <w:sz w:val="18"/>
                <w:szCs w:val="18"/>
              </w:rPr>
              <w:t>централа</w:t>
            </w:r>
            <w:r>
              <w:rPr>
                <w:b/>
                <w:sz w:val="18"/>
                <w:szCs w:val="18"/>
                <w:lang w:val="en-US"/>
              </w:rPr>
              <w:t>,</w:t>
            </w:r>
            <w:r>
              <w:rPr>
                <w:b/>
                <w:sz w:val="18"/>
                <w:szCs w:val="18"/>
              </w:rPr>
              <w:t xml:space="preserve"> блок</w:t>
            </w:r>
            <w:r>
              <w:rPr>
                <w:b/>
                <w:sz w:val="18"/>
                <w:szCs w:val="18"/>
                <w:lang w:val="en-US"/>
              </w:rPr>
              <w:t>)</w:t>
            </w:r>
          </w:p>
        </w:tc>
        <w:tc>
          <w:tcPr>
            <w:tcW w:w="1276" w:type="dxa"/>
          </w:tcPr>
          <w:p>
            <w:pPr>
              <w:spacing w:before="120" w:after="120"/>
              <w:ind w:left="-144"/>
              <w:jc w:val="center"/>
              <w:rPr>
                <w:b/>
                <w:bCs/>
                <w:sz w:val="18"/>
                <w:szCs w:val="18"/>
              </w:rPr>
            </w:pPr>
            <w:r>
              <w:rPr>
                <w:b/>
                <w:bCs/>
                <w:sz w:val="18"/>
                <w:szCs w:val="18"/>
              </w:rPr>
              <w:t>Предоставена брутна разполагаема мощност</w:t>
            </w:r>
          </w:p>
        </w:tc>
        <w:tc>
          <w:tcPr>
            <w:tcW w:w="1418" w:type="dxa"/>
            <w:vAlign w:val="center"/>
          </w:tcPr>
          <w:p>
            <w:pPr>
              <w:spacing w:after="120"/>
              <w:ind w:left="-144"/>
              <w:jc w:val="center"/>
              <w:rPr>
                <w:b/>
                <w:bCs/>
                <w:sz w:val="18"/>
                <w:szCs w:val="18"/>
              </w:rPr>
            </w:pPr>
            <w:r>
              <w:rPr>
                <w:b/>
                <w:bCs/>
                <w:sz w:val="18"/>
                <w:szCs w:val="18"/>
              </w:rPr>
              <w:t>Предоставена нетна разполагаема мощност</w:t>
            </w:r>
          </w:p>
        </w:tc>
        <w:tc>
          <w:tcPr>
            <w:tcW w:w="1417" w:type="dxa"/>
            <w:vAlign w:val="center"/>
          </w:tcPr>
          <w:p>
            <w:pPr>
              <w:spacing w:after="120"/>
              <w:jc w:val="center"/>
              <w:rPr>
                <w:b/>
                <w:bCs/>
                <w:sz w:val="18"/>
                <w:szCs w:val="18"/>
              </w:rPr>
            </w:pPr>
            <w:r>
              <w:rPr>
                <w:b/>
                <w:bCs/>
                <w:sz w:val="18"/>
                <w:szCs w:val="18"/>
              </w:rPr>
              <w:t>Време за предоставяне</w:t>
            </w:r>
          </w:p>
        </w:tc>
        <w:tc>
          <w:tcPr>
            <w:tcW w:w="1418" w:type="dxa"/>
            <w:vAlign w:val="center"/>
          </w:tcPr>
          <w:p>
            <w:pPr>
              <w:spacing w:after="120"/>
              <w:jc w:val="center"/>
              <w:rPr>
                <w:b/>
                <w:bCs/>
                <w:sz w:val="18"/>
                <w:szCs w:val="18"/>
              </w:rPr>
            </w:pPr>
            <w:r>
              <w:rPr>
                <w:b/>
                <w:bCs/>
                <w:sz w:val="18"/>
                <w:szCs w:val="18"/>
              </w:rPr>
              <w:t>Договорена брутна разполагаема мощност</w:t>
            </w:r>
          </w:p>
        </w:tc>
        <w:tc>
          <w:tcPr>
            <w:tcW w:w="1417" w:type="dxa"/>
            <w:vAlign w:val="center"/>
          </w:tcPr>
          <w:p>
            <w:pPr>
              <w:spacing w:after="120"/>
              <w:jc w:val="center"/>
              <w:rPr>
                <w:b/>
                <w:bCs/>
                <w:sz w:val="18"/>
                <w:szCs w:val="18"/>
              </w:rPr>
            </w:pPr>
            <w:r>
              <w:rPr>
                <w:b/>
                <w:bCs/>
                <w:sz w:val="18"/>
                <w:szCs w:val="18"/>
              </w:rPr>
              <w:t>Договорена нетна разполагаема мощност</w:t>
            </w:r>
          </w:p>
        </w:tc>
        <w:tc>
          <w:tcPr>
            <w:tcW w:w="992" w:type="dxa"/>
            <w:vAlign w:val="center"/>
          </w:tcPr>
          <w:p>
            <w:pPr>
              <w:spacing w:after="120"/>
              <w:jc w:val="center"/>
              <w:rPr>
                <w:b/>
                <w:bCs/>
                <w:sz w:val="18"/>
                <w:szCs w:val="18"/>
              </w:rPr>
            </w:pPr>
            <w:r>
              <w:rPr>
                <w:b/>
                <w:bCs/>
                <w:sz w:val="18"/>
                <w:szCs w:val="18"/>
              </w:rPr>
              <w:t>Брой блокове</w:t>
            </w:r>
          </w:p>
        </w:tc>
        <w:tc>
          <w:tcPr>
            <w:tcW w:w="756" w:type="dxa"/>
            <w:vAlign w:val="center"/>
          </w:tcPr>
          <w:p>
            <w:pPr>
              <w:spacing w:after="120"/>
              <w:jc w:val="center"/>
              <w:rPr>
                <w:b/>
                <w:bCs/>
                <w:sz w:val="18"/>
                <w:szCs w:val="18"/>
              </w:rPr>
            </w:pPr>
            <w:r>
              <w:rPr>
                <w:b/>
                <w:bCs/>
                <w:sz w:val="18"/>
                <w:szCs w:val="18"/>
              </w:rPr>
              <w:t>Цена за 1 MW</w:t>
            </w:r>
            <w:r>
              <w:rPr>
                <w:b/>
                <w:bCs/>
                <w:sz w:val="18"/>
                <w:szCs w:val="18"/>
                <w:lang w:val="en-US"/>
              </w:rPr>
              <w:t>*</w:t>
            </w:r>
            <w:r>
              <w:rPr>
                <w:b/>
                <w:bCs/>
                <w:sz w:val="18"/>
                <w:szCs w:val="18"/>
              </w:rPr>
              <w:t xml:space="preserve">h </w:t>
            </w:r>
          </w:p>
        </w:tc>
        <w:tc>
          <w:tcPr>
            <w:tcW w:w="867" w:type="dxa"/>
          </w:tcPr>
          <w:p>
            <w:pPr>
              <w:spacing w:before="120" w:after="120"/>
              <w:jc w:val="center"/>
              <w:rPr>
                <w:b/>
                <w:bCs/>
                <w:sz w:val="18"/>
                <w:szCs w:val="18"/>
              </w:rPr>
            </w:pPr>
            <w:r>
              <w:rPr>
                <w:b/>
                <w:bCs/>
                <w:sz w:val="18"/>
                <w:szCs w:val="18"/>
              </w:rPr>
              <w:t>Обща цена без ДДС</w:t>
            </w:r>
          </w:p>
        </w:tc>
      </w:tr>
      <w:tr>
        <w:trPr>
          <w:trHeight w:val="765"/>
        </w:trPr>
        <w:tc>
          <w:tcPr>
            <w:tcW w:w="1134" w:type="dxa"/>
            <w:vMerge/>
            <w:vAlign w:val="center"/>
          </w:tcPr>
          <w:p>
            <w:pPr>
              <w:tabs>
                <w:tab w:val="left" w:pos="7372"/>
                <w:tab w:val="left" w:pos="8222"/>
              </w:tabs>
              <w:spacing w:after="120"/>
              <w:ind w:right="-108"/>
              <w:jc w:val="center"/>
            </w:pPr>
          </w:p>
        </w:tc>
        <w:tc>
          <w:tcPr>
            <w:tcW w:w="1276" w:type="dxa"/>
          </w:tcPr>
          <w:p>
            <w:pPr>
              <w:spacing w:before="240" w:after="120"/>
              <w:ind w:left="-144"/>
              <w:jc w:val="center"/>
              <w:rPr>
                <w:b/>
                <w:bCs/>
                <w:sz w:val="18"/>
                <w:szCs w:val="18"/>
              </w:rPr>
            </w:pPr>
            <w:r>
              <w:rPr>
                <w:b/>
                <w:bCs/>
                <w:sz w:val="18"/>
                <w:szCs w:val="18"/>
              </w:rPr>
              <w:t>MW</w:t>
            </w:r>
          </w:p>
        </w:tc>
        <w:tc>
          <w:tcPr>
            <w:tcW w:w="1418" w:type="dxa"/>
            <w:vAlign w:val="center"/>
          </w:tcPr>
          <w:p>
            <w:pPr>
              <w:spacing w:after="120"/>
              <w:jc w:val="center"/>
              <w:rPr>
                <w:b/>
                <w:sz w:val="18"/>
                <w:szCs w:val="18"/>
              </w:rPr>
            </w:pPr>
            <w:r>
              <w:rPr>
                <w:b/>
                <w:bCs/>
                <w:sz w:val="18"/>
                <w:szCs w:val="18"/>
              </w:rPr>
              <w:t>MW</w:t>
            </w:r>
          </w:p>
        </w:tc>
        <w:tc>
          <w:tcPr>
            <w:tcW w:w="1417" w:type="dxa"/>
            <w:vAlign w:val="center"/>
          </w:tcPr>
          <w:p>
            <w:pPr>
              <w:spacing w:after="120"/>
              <w:jc w:val="center"/>
              <w:rPr>
                <w:b/>
                <w:sz w:val="18"/>
                <w:szCs w:val="18"/>
              </w:rPr>
            </w:pPr>
            <w:r>
              <w:rPr>
                <w:b/>
                <w:sz w:val="18"/>
                <w:szCs w:val="18"/>
              </w:rPr>
              <w:t>брой часове</w:t>
            </w:r>
          </w:p>
        </w:tc>
        <w:tc>
          <w:tcPr>
            <w:tcW w:w="1418" w:type="dxa"/>
            <w:vAlign w:val="center"/>
          </w:tcPr>
          <w:p>
            <w:pPr>
              <w:spacing w:after="120"/>
              <w:ind w:left="-33"/>
              <w:jc w:val="center"/>
              <w:rPr>
                <w:b/>
                <w:bCs/>
                <w:sz w:val="18"/>
                <w:szCs w:val="18"/>
              </w:rPr>
            </w:pPr>
            <w:r>
              <w:rPr>
                <w:b/>
                <w:bCs/>
                <w:sz w:val="18"/>
                <w:szCs w:val="18"/>
              </w:rPr>
              <w:t>MW*h</w:t>
            </w:r>
          </w:p>
        </w:tc>
        <w:tc>
          <w:tcPr>
            <w:tcW w:w="1417" w:type="dxa"/>
            <w:vAlign w:val="center"/>
          </w:tcPr>
          <w:p>
            <w:pPr>
              <w:spacing w:after="120"/>
              <w:ind w:left="-33"/>
              <w:jc w:val="center"/>
              <w:rPr>
                <w:b/>
                <w:sz w:val="18"/>
                <w:szCs w:val="18"/>
              </w:rPr>
            </w:pPr>
            <w:r>
              <w:rPr>
                <w:b/>
                <w:bCs/>
                <w:sz w:val="18"/>
                <w:szCs w:val="18"/>
              </w:rPr>
              <w:t>MW*h</w:t>
            </w:r>
          </w:p>
        </w:tc>
        <w:tc>
          <w:tcPr>
            <w:tcW w:w="992" w:type="dxa"/>
          </w:tcPr>
          <w:p>
            <w:pPr>
              <w:spacing w:before="180" w:after="120"/>
              <w:jc w:val="center"/>
              <w:rPr>
                <w:b/>
                <w:sz w:val="18"/>
                <w:szCs w:val="18"/>
              </w:rPr>
            </w:pPr>
            <w:r>
              <w:rPr>
                <w:b/>
                <w:sz w:val="18"/>
                <w:szCs w:val="18"/>
              </w:rPr>
              <w:t>брой</w:t>
            </w:r>
          </w:p>
        </w:tc>
        <w:tc>
          <w:tcPr>
            <w:tcW w:w="756" w:type="dxa"/>
            <w:vAlign w:val="center"/>
          </w:tcPr>
          <w:p>
            <w:pPr>
              <w:spacing w:after="120"/>
              <w:ind w:left="-33"/>
              <w:jc w:val="center"/>
              <w:rPr>
                <w:b/>
                <w:bCs/>
                <w:sz w:val="18"/>
                <w:szCs w:val="18"/>
              </w:rPr>
            </w:pPr>
            <w:r>
              <w:rPr>
                <w:b/>
                <w:bCs/>
                <w:sz w:val="18"/>
                <w:szCs w:val="18"/>
              </w:rPr>
              <w:t>лв</w:t>
            </w:r>
          </w:p>
        </w:tc>
        <w:tc>
          <w:tcPr>
            <w:tcW w:w="867" w:type="dxa"/>
          </w:tcPr>
          <w:p>
            <w:pPr>
              <w:spacing w:before="240" w:after="120"/>
              <w:ind w:left="-33"/>
              <w:jc w:val="center"/>
              <w:rPr>
                <w:b/>
                <w:bCs/>
                <w:sz w:val="18"/>
                <w:szCs w:val="18"/>
              </w:rPr>
            </w:pPr>
            <w:r>
              <w:rPr>
                <w:b/>
                <w:bCs/>
                <w:sz w:val="18"/>
                <w:szCs w:val="18"/>
              </w:rPr>
              <w:t>лв</w:t>
            </w:r>
          </w:p>
        </w:tc>
      </w:tr>
      <w:tr>
        <w:trPr>
          <w:trHeight w:val="662"/>
        </w:trPr>
        <w:tc>
          <w:tcPr>
            <w:tcW w:w="1134" w:type="dxa"/>
            <w:vAlign w:val="center"/>
          </w:tcPr>
          <w:p>
            <w:pPr>
              <w:tabs>
                <w:tab w:val="left" w:pos="7372"/>
                <w:tab w:val="left" w:pos="8222"/>
              </w:tabs>
              <w:spacing w:after="120"/>
              <w:ind w:right="-108"/>
              <w:jc w:val="center"/>
              <w:rPr>
                <w:lang w:val="en-US"/>
              </w:rPr>
            </w:pPr>
          </w:p>
        </w:tc>
        <w:tc>
          <w:tcPr>
            <w:tcW w:w="1276" w:type="dxa"/>
          </w:tcPr>
          <w:p>
            <w:pPr>
              <w:spacing w:before="120" w:after="120"/>
              <w:ind w:left="-144"/>
              <w:jc w:val="center"/>
            </w:pPr>
          </w:p>
        </w:tc>
        <w:tc>
          <w:tcPr>
            <w:tcW w:w="1418" w:type="dxa"/>
            <w:vAlign w:val="center"/>
          </w:tcPr>
          <w:p>
            <w:pPr>
              <w:spacing w:after="120"/>
              <w:jc w:val="center"/>
            </w:pPr>
          </w:p>
        </w:tc>
        <w:tc>
          <w:tcPr>
            <w:tcW w:w="1417" w:type="dxa"/>
            <w:vAlign w:val="center"/>
          </w:tcPr>
          <w:p>
            <w:pPr>
              <w:spacing w:after="120"/>
              <w:jc w:val="center"/>
            </w:pPr>
          </w:p>
        </w:tc>
        <w:tc>
          <w:tcPr>
            <w:tcW w:w="1418" w:type="dxa"/>
            <w:vAlign w:val="center"/>
          </w:tcPr>
          <w:p>
            <w:pPr>
              <w:spacing w:after="120"/>
              <w:ind w:left="-33"/>
              <w:jc w:val="center"/>
            </w:pPr>
          </w:p>
        </w:tc>
        <w:tc>
          <w:tcPr>
            <w:tcW w:w="1417" w:type="dxa"/>
            <w:vAlign w:val="center"/>
          </w:tcPr>
          <w:p>
            <w:pPr>
              <w:spacing w:after="120"/>
              <w:ind w:left="-33"/>
              <w:jc w:val="center"/>
            </w:pPr>
          </w:p>
        </w:tc>
        <w:tc>
          <w:tcPr>
            <w:tcW w:w="992" w:type="dxa"/>
          </w:tcPr>
          <w:p>
            <w:pPr>
              <w:spacing w:before="120" w:after="120"/>
              <w:jc w:val="center"/>
            </w:pPr>
          </w:p>
        </w:tc>
        <w:tc>
          <w:tcPr>
            <w:tcW w:w="756" w:type="dxa"/>
            <w:vAlign w:val="center"/>
          </w:tcPr>
          <w:p>
            <w:pPr>
              <w:spacing w:after="120"/>
              <w:ind w:left="-33"/>
              <w:jc w:val="center"/>
            </w:pPr>
          </w:p>
        </w:tc>
        <w:tc>
          <w:tcPr>
            <w:tcW w:w="867" w:type="dxa"/>
          </w:tcPr>
          <w:p>
            <w:pPr>
              <w:spacing w:before="120" w:after="120"/>
              <w:ind w:left="-33"/>
              <w:jc w:val="center"/>
              <w:rPr>
                <w:lang w:val="en-US"/>
              </w:rPr>
            </w:pPr>
          </w:p>
        </w:tc>
      </w:tr>
    </w:tbl>
    <w:p>
      <w:pPr>
        <w:pStyle w:val="BodyText"/>
        <w:ind w:left="1275"/>
      </w:pPr>
    </w:p>
    <w:p>
      <w:pPr>
        <w:pStyle w:val="BodyText"/>
        <w:ind w:left="1275"/>
      </w:pPr>
      <w:r>
        <w:rPr>
          <w:b/>
        </w:rPr>
        <w:t>Словом:</w:t>
      </w:r>
      <w:r>
        <w:t xml:space="preserve"> </w:t>
      </w:r>
      <w:r>
        <w:rPr>
          <w:lang w:val="en-US"/>
        </w:rPr>
        <w:t>……………………………………………………….</w:t>
      </w:r>
      <w:r>
        <w:t>лв.</w:t>
      </w:r>
    </w:p>
    <w:p>
      <w:pPr>
        <w:jc w:val="both"/>
      </w:pPr>
    </w:p>
    <w:p>
      <w:pPr>
        <w:jc w:val="both"/>
      </w:pPr>
    </w:p>
    <w:p>
      <w:pPr>
        <w:jc w:val="both"/>
        <w:rPr>
          <w:b/>
        </w:rPr>
      </w:pPr>
      <w:r>
        <w:rPr>
          <w:b/>
        </w:rPr>
        <w:t>ЗА ДОСТАВЧИКА:</w:t>
      </w:r>
      <w:r>
        <w:rPr>
          <w:b/>
        </w:rPr>
        <w:tab/>
      </w:r>
      <w:r>
        <w:rPr>
          <w:b/>
        </w:rPr>
        <w:tab/>
      </w:r>
      <w:r>
        <w:rPr>
          <w:b/>
        </w:rPr>
        <w:tab/>
      </w:r>
      <w:r>
        <w:rPr>
          <w:b/>
        </w:rPr>
        <w:tab/>
      </w:r>
      <w:r>
        <w:rPr>
          <w:b/>
        </w:rPr>
        <w:tab/>
        <w:t>ЗА ОПЕРАТОРА:</w:t>
      </w:r>
      <w:r>
        <w:rPr>
          <w:b/>
        </w:rPr>
        <w:tab/>
      </w:r>
      <w:r>
        <w:rPr>
          <w:b/>
        </w:rPr>
        <w:tab/>
      </w:r>
      <w:r>
        <w:rPr>
          <w:b/>
        </w:rPr>
        <w:tab/>
      </w:r>
      <w:r>
        <w:rPr>
          <w:b/>
        </w:rPr>
        <w:tab/>
      </w:r>
      <w:r>
        <w:rPr>
          <w:b/>
        </w:rPr>
        <w:tab/>
      </w:r>
    </w:p>
    <w:p>
      <w:pPr>
        <w:jc w:val="both"/>
      </w:pPr>
      <w:r>
        <w:t xml:space="preserve">...................................... </w:t>
      </w:r>
      <w:r>
        <w:tab/>
      </w:r>
      <w:r>
        <w:tab/>
      </w:r>
      <w:r>
        <w:tab/>
      </w:r>
      <w:r>
        <w:tab/>
      </w:r>
      <w:r>
        <w:tab/>
        <w:t>....................................</w:t>
      </w:r>
    </w:p>
    <w:p>
      <w:pPr>
        <w:jc w:val="both"/>
      </w:pPr>
      <w:r>
        <w:br w:type="column"/>
      </w:r>
    </w:p>
    <w:p>
      <w:pPr>
        <w:pStyle w:val="Heading4"/>
        <w:keepNext w:val="0"/>
        <w:keepLines/>
        <w:tabs>
          <w:tab w:val="num" w:pos="851"/>
        </w:tabs>
        <w:spacing w:before="60" w:line="264" w:lineRule="auto"/>
        <w:jc w:val="right"/>
        <w:rPr>
          <w:b/>
          <w:u w:val="single"/>
        </w:rPr>
      </w:pPr>
      <w:r>
        <w:rPr>
          <w:b/>
          <w:u w:val="single"/>
        </w:rPr>
        <w:t>Приложение №  4 (Образец)</w:t>
      </w:r>
    </w:p>
    <w:p>
      <w:pPr>
        <w:pStyle w:val="BodyText"/>
        <w:rPr>
          <w:lang w:val="en-US"/>
        </w:rPr>
      </w:pPr>
    </w:p>
    <w:p>
      <w:pPr>
        <w:pStyle w:val="BodyText"/>
        <w:jc w:val="center"/>
        <w:rPr>
          <w:b/>
        </w:rPr>
      </w:pPr>
      <w:r>
        <w:rPr>
          <w:b/>
        </w:rPr>
        <w:t>ДОГОВОРЕНИ КОЛИЧЕСТВЕНИ ПОКАЗАТЕЛИ НА ВЪГЛИЩАТА ЗА СТУДЕН РЕЗЕРВ И ЗА НЕПРЕКЪСНАТО ПРОИЗВОДСТВО</w:t>
      </w:r>
    </w:p>
    <w:p>
      <w:pPr>
        <w:pStyle w:val="BodyText"/>
      </w:pPr>
    </w:p>
    <w:p>
      <w:pPr>
        <w:ind w:left="1275"/>
        <w:rPr>
          <w:b/>
          <w:bCs/>
          <w:color w:val="000000"/>
          <w:u w:val="single"/>
        </w:rPr>
      </w:pPr>
      <w:r>
        <w:rPr>
          <w:b/>
          <w:bCs/>
          <w:color w:val="000000"/>
          <w:u w:val="single"/>
        </w:rPr>
        <w:t>за периода от 00:00 часа на …………….г.. до 24:00 часа на ……………….г.:</w:t>
      </w:r>
    </w:p>
    <w:p>
      <w:pPr>
        <w:jc w:val="both"/>
      </w:pPr>
    </w:p>
    <w:p>
      <w:pPr>
        <w:jc w:val="both"/>
      </w:pPr>
    </w:p>
    <w:p>
      <w:pPr>
        <w:jc w:val="both"/>
      </w:pPr>
    </w:p>
    <w:p>
      <w:pPr>
        <w:jc w:val="both"/>
      </w:pPr>
    </w:p>
    <w:tbl>
      <w:tblPr>
        <w:tblW w:w="769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4"/>
        <w:gridCol w:w="3037"/>
        <w:gridCol w:w="816"/>
        <w:gridCol w:w="1013"/>
        <w:gridCol w:w="950"/>
        <w:gridCol w:w="860"/>
      </w:tblGrid>
      <w:tr>
        <w:trPr>
          <w:trHeight w:val="300"/>
          <w:jc w:val="center"/>
        </w:trPr>
        <w:tc>
          <w:tcPr>
            <w:tcW w:w="1014" w:type="dxa"/>
            <w:vMerge w:val="restart"/>
            <w:shd w:val="clear" w:color="auto" w:fill="auto"/>
            <w:vAlign w:val="center"/>
            <w:hideMark/>
          </w:tcPr>
          <w:p>
            <w:pPr>
              <w:jc w:val="center"/>
              <w:rPr>
                <w:b/>
                <w:bCs/>
                <w:color w:val="000000"/>
                <w:sz w:val="18"/>
                <w:szCs w:val="18"/>
              </w:rPr>
            </w:pPr>
            <w:r>
              <w:rPr>
                <w:b/>
                <w:bCs/>
                <w:color w:val="000000"/>
                <w:sz w:val="18"/>
                <w:szCs w:val="18"/>
              </w:rPr>
              <w:t>Формула</w:t>
            </w:r>
          </w:p>
        </w:tc>
        <w:tc>
          <w:tcPr>
            <w:tcW w:w="3037" w:type="dxa"/>
            <w:vMerge w:val="restart"/>
            <w:shd w:val="clear" w:color="auto" w:fill="auto"/>
            <w:vAlign w:val="center"/>
            <w:hideMark/>
          </w:tcPr>
          <w:p>
            <w:pPr>
              <w:jc w:val="center"/>
              <w:rPr>
                <w:b/>
                <w:bCs/>
                <w:color w:val="000000"/>
                <w:sz w:val="18"/>
                <w:szCs w:val="18"/>
              </w:rPr>
            </w:pPr>
            <w:r>
              <w:rPr>
                <w:b/>
                <w:bCs/>
                <w:color w:val="000000"/>
                <w:sz w:val="18"/>
                <w:szCs w:val="18"/>
              </w:rPr>
              <w:t>Показател</w:t>
            </w:r>
          </w:p>
        </w:tc>
        <w:tc>
          <w:tcPr>
            <w:tcW w:w="816" w:type="dxa"/>
            <w:vMerge w:val="restart"/>
            <w:vAlign w:val="center"/>
          </w:tcPr>
          <w:p>
            <w:pPr>
              <w:jc w:val="center"/>
              <w:rPr>
                <w:b/>
                <w:bCs/>
                <w:color w:val="000000"/>
                <w:sz w:val="18"/>
                <w:szCs w:val="18"/>
              </w:rPr>
            </w:pPr>
            <w:r>
              <w:rPr>
                <w:b/>
                <w:bCs/>
                <w:color w:val="000000"/>
                <w:sz w:val="18"/>
                <w:szCs w:val="18"/>
              </w:rPr>
              <w:t>Мерна единица</w:t>
            </w:r>
          </w:p>
        </w:tc>
        <w:tc>
          <w:tcPr>
            <w:tcW w:w="2823" w:type="dxa"/>
            <w:gridSpan w:val="3"/>
            <w:shd w:val="clear" w:color="auto" w:fill="auto"/>
            <w:vAlign w:val="center"/>
            <w:hideMark/>
          </w:tcPr>
          <w:p>
            <w:pPr>
              <w:jc w:val="center"/>
              <w:rPr>
                <w:b/>
                <w:bCs/>
                <w:color w:val="000000"/>
                <w:sz w:val="18"/>
                <w:szCs w:val="18"/>
              </w:rPr>
            </w:pPr>
            <w:r>
              <w:rPr>
                <w:b/>
                <w:bCs/>
                <w:color w:val="000000"/>
                <w:sz w:val="18"/>
                <w:szCs w:val="18"/>
              </w:rPr>
              <w:t>Месец</w:t>
            </w:r>
          </w:p>
        </w:tc>
      </w:tr>
      <w:tr>
        <w:trPr>
          <w:trHeight w:val="300"/>
          <w:jc w:val="center"/>
        </w:trPr>
        <w:tc>
          <w:tcPr>
            <w:tcW w:w="1014" w:type="dxa"/>
            <w:vMerge/>
            <w:vAlign w:val="center"/>
            <w:hideMark/>
          </w:tcPr>
          <w:p>
            <w:pPr>
              <w:rPr>
                <w:b/>
                <w:bCs/>
                <w:color w:val="000000"/>
                <w:sz w:val="18"/>
                <w:szCs w:val="18"/>
              </w:rPr>
            </w:pPr>
          </w:p>
        </w:tc>
        <w:tc>
          <w:tcPr>
            <w:tcW w:w="3037" w:type="dxa"/>
            <w:vMerge/>
            <w:vAlign w:val="center"/>
            <w:hideMark/>
          </w:tcPr>
          <w:p>
            <w:pPr>
              <w:rPr>
                <w:b/>
                <w:bCs/>
                <w:color w:val="000000"/>
                <w:sz w:val="18"/>
                <w:szCs w:val="18"/>
              </w:rPr>
            </w:pPr>
          </w:p>
        </w:tc>
        <w:tc>
          <w:tcPr>
            <w:tcW w:w="816" w:type="dxa"/>
            <w:vMerge/>
            <w:vAlign w:val="center"/>
          </w:tcPr>
          <w:p>
            <w:pPr>
              <w:rPr>
                <w:b/>
                <w:bCs/>
                <w:color w:val="000000"/>
                <w:sz w:val="18"/>
                <w:szCs w:val="18"/>
              </w:rPr>
            </w:pPr>
          </w:p>
        </w:tc>
        <w:tc>
          <w:tcPr>
            <w:tcW w:w="1013" w:type="dxa"/>
            <w:shd w:val="clear" w:color="auto" w:fill="auto"/>
            <w:vAlign w:val="center"/>
            <w:hideMark/>
          </w:tcPr>
          <w:p>
            <w:pPr>
              <w:jc w:val="center"/>
              <w:rPr>
                <w:b/>
                <w:bCs/>
                <w:color w:val="000000"/>
                <w:sz w:val="18"/>
                <w:szCs w:val="18"/>
              </w:rPr>
            </w:pPr>
            <w:r>
              <w:rPr>
                <w:b/>
                <w:bCs/>
                <w:color w:val="000000"/>
                <w:sz w:val="18"/>
                <w:szCs w:val="18"/>
              </w:rPr>
              <w:t>………… 2015г.</w:t>
            </w:r>
          </w:p>
        </w:tc>
        <w:tc>
          <w:tcPr>
            <w:tcW w:w="950" w:type="dxa"/>
            <w:shd w:val="clear" w:color="auto" w:fill="auto"/>
            <w:vAlign w:val="center"/>
            <w:hideMark/>
          </w:tcPr>
          <w:p>
            <w:pPr>
              <w:jc w:val="center"/>
              <w:rPr>
                <w:b/>
                <w:bCs/>
                <w:color w:val="000000"/>
                <w:sz w:val="18"/>
                <w:szCs w:val="18"/>
              </w:rPr>
            </w:pPr>
            <w:r>
              <w:rPr>
                <w:b/>
                <w:bCs/>
                <w:color w:val="000000"/>
                <w:sz w:val="18"/>
                <w:szCs w:val="18"/>
              </w:rPr>
              <w:t>…………..</w:t>
            </w:r>
          </w:p>
        </w:tc>
        <w:tc>
          <w:tcPr>
            <w:tcW w:w="860" w:type="dxa"/>
            <w:shd w:val="clear" w:color="auto" w:fill="auto"/>
            <w:vAlign w:val="center"/>
            <w:hideMark/>
          </w:tcPr>
          <w:p>
            <w:pPr>
              <w:jc w:val="center"/>
              <w:rPr>
                <w:b/>
                <w:bCs/>
                <w:color w:val="000000"/>
                <w:sz w:val="18"/>
                <w:szCs w:val="18"/>
              </w:rPr>
            </w:pPr>
            <w:r>
              <w:rPr>
                <w:b/>
                <w:bCs/>
                <w:color w:val="000000"/>
                <w:sz w:val="18"/>
                <w:szCs w:val="18"/>
              </w:rPr>
              <w:t>………… 2016г.</w:t>
            </w:r>
          </w:p>
        </w:tc>
      </w:tr>
      <w:tr>
        <w:trPr>
          <w:trHeight w:val="390"/>
          <w:jc w:val="center"/>
        </w:trPr>
        <w:tc>
          <w:tcPr>
            <w:tcW w:w="1014" w:type="dxa"/>
            <w:shd w:val="clear" w:color="auto" w:fill="auto"/>
            <w:vAlign w:val="center"/>
            <w:hideMark/>
          </w:tcPr>
          <w:p>
            <w:pPr>
              <w:jc w:val="center"/>
              <w:rPr>
                <w:b/>
                <w:bCs/>
                <w:color w:val="000000"/>
                <w:sz w:val="18"/>
                <w:szCs w:val="18"/>
              </w:rPr>
            </w:pPr>
            <w:r>
              <w:rPr>
                <w:b/>
                <w:bCs/>
                <w:color w:val="000000"/>
                <w:sz w:val="18"/>
                <w:szCs w:val="18"/>
                <w:lang w:val="en-US"/>
              </w:rPr>
              <w:t>a=</w:t>
            </w:r>
            <w:proofErr w:type="spellStart"/>
            <w:r>
              <w:rPr>
                <w:b/>
                <w:bCs/>
                <w:color w:val="000000"/>
                <w:sz w:val="18"/>
                <w:szCs w:val="18"/>
                <w:lang w:val="en-US"/>
              </w:rPr>
              <w:t>b+c</w:t>
            </w:r>
            <w:proofErr w:type="spellEnd"/>
          </w:p>
        </w:tc>
        <w:tc>
          <w:tcPr>
            <w:tcW w:w="3037" w:type="dxa"/>
            <w:shd w:val="clear" w:color="auto" w:fill="auto"/>
            <w:vAlign w:val="center"/>
            <w:hideMark/>
          </w:tcPr>
          <w:p>
            <w:pPr>
              <w:rPr>
                <w:b/>
                <w:bCs/>
                <w:color w:val="000000"/>
                <w:sz w:val="18"/>
                <w:szCs w:val="18"/>
              </w:rPr>
            </w:pPr>
            <w:r>
              <w:rPr>
                <w:b/>
                <w:bCs/>
                <w:color w:val="000000"/>
                <w:sz w:val="18"/>
                <w:szCs w:val="18"/>
              </w:rPr>
              <w:t xml:space="preserve">ОБЩО изискуемо количество въглища на склад на площадката на централата към …………….., в т.ч.: </w:t>
            </w:r>
          </w:p>
        </w:tc>
        <w:tc>
          <w:tcPr>
            <w:tcW w:w="816" w:type="dxa"/>
            <w:vAlign w:val="center"/>
          </w:tcPr>
          <w:p>
            <w:pPr>
              <w:jc w:val="center"/>
              <w:rPr>
                <w:b/>
                <w:bCs/>
                <w:color w:val="000000"/>
                <w:sz w:val="18"/>
                <w:szCs w:val="18"/>
              </w:rPr>
            </w:pPr>
            <w:r>
              <w:rPr>
                <w:b/>
                <w:bCs/>
                <w:color w:val="000000"/>
                <w:sz w:val="18"/>
                <w:szCs w:val="18"/>
                <w:lang w:val="en-US"/>
              </w:rPr>
              <w:t>t</w:t>
            </w:r>
          </w:p>
        </w:tc>
        <w:tc>
          <w:tcPr>
            <w:tcW w:w="1013" w:type="dxa"/>
            <w:shd w:val="clear" w:color="auto" w:fill="auto"/>
            <w:vAlign w:val="center"/>
            <w:hideMark/>
          </w:tcPr>
          <w:p>
            <w:pPr>
              <w:jc w:val="center"/>
              <w:rPr>
                <w:b/>
                <w:bCs/>
                <w:color w:val="000000"/>
                <w:sz w:val="18"/>
                <w:szCs w:val="18"/>
              </w:rPr>
            </w:pPr>
            <w:r>
              <w:rPr>
                <w:b/>
                <w:bCs/>
                <w:color w:val="000000"/>
                <w:sz w:val="18"/>
                <w:szCs w:val="18"/>
              </w:rPr>
              <w:t> </w:t>
            </w:r>
          </w:p>
        </w:tc>
        <w:tc>
          <w:tcPr>
            <w:tcW w:w="950" w:type="dxa"/>
            <w:shd w:val="clear" w:color="auto" w:fill="auto"/>
            <w:vAlign w:val="center"/>
            <w:hideMark/>
          </w:tcPr>
          <w:p>
            <w:pPr>
              <w:jc w:val="center"/>
              <w:rPr>
                <w:b/>
                <w:bCs/>
                <w:color w:val="000000"/>
                <w:sz w:val="18"/>
                <w:szCs w:val="18"/>
              </w:rPr>
            </w:pPr>
            <w:r>
              <w:rPr>
                <w:b/>
                <w:bCs/>
                <w:color w:val="000000"/>
                <w:sz w:val="18"/>
                <w:szCs w:val="18"/>
                <w:lang w:val="en-US"/>
              </w:rPr>
              <w:t> </w:t>
            </w:r>
          </w:p>
        </w:tc>
        <w:tc>
          <w:tcPr>
            <w:tcW w:w="860" w:type="dxa"/>
            <w:shd w:val="clear" w:color="auto" w:fill="auto"/>
            <w:vAlign w:val="center"/>
            <w:hideMark/>
          </w:tcPr>
          <w:p>
            <w:pPr>
              <w:jc w:val="center"/>
              <w:rPr>
                <w:b/>
                <w:bCs/>
                <w:color w:val="000000"/>
                <w:sz w:val="18"/>
                <w:szCs w:val="18"/>
              </w:rPr>
            </w:pPr>
            <w:r>
              <w:rPr>
                <w:b/>
                <w:bCs/>
                <w:color w:val="000000"/>
                <w:sz w:val="18"/>
                <w:szCs w:val="18"/>
              </w:rPr>
              <w:t> </w:t>
            </w:r>
          </w:p>
        </w:tc>
      </w:tr>
      <w:tr>
        <w:trPr>
          <w:trHeight w:val="231"/>
          <w:jc w:val="center"/>
        </w:trPr>
        <w:tc>
          <w:tcPr>
            <w:tcW w:w="1014" w:type="dxa"/>
            <w:shd w:val="clear" w:color="auto" w:fill="auto"/>
            <w:vAlign w:val="center"/>
            <w:hideMark/>
          </w:tcPr>
          <w:p>
            <w:pPr>
              <w:jc w:val="center"/>
              <w:rPr>
                <w:b/>
                <w:bCs/>
                <w:color w:val="000000"/>
                <w:sz w:val="18"/>
                <w:szCs w:val="18"/>
              </w:rPr>
            </w:pPr>
            <w:r>
              <w:rPr>
                <w:b/>
                <w:bCs/>
                <w:color w:val="000000"/>
                <w:sz w:val="18"/>
                <w:szCs w:val="18"/>
                <w:lang w:val="en-US"/>
              </w:rPr>
              <w:t>b</w:t>
            </w:r>
          </w:p>
        </w:tc>
        <w:tc>
          <w:tcPr>
            <w:tcW w:w="3037" w:type="dxa"/>
            <w:shd w:val="clear" w:color="auto" w:fill="auto"/>
            <w:vAlign w:val="center"/>
            <w:hideMark/>
          </w:tcPr>
          <w:p>
            <w:pPr>
              <w:jc w:val="both"/>
              <w:rPr>
                <w:b/>
                <w:bCs/>
                <w:color w:val="000000"/>
                <w:sz w:val="18"/>
                <w:szCs w:val="18"/>
              </w:rPr>
            </w:pPr>
            <w:r>
              <w:rPr>
                <w:b/>
                <w:bCs/>
                <w:color w:val="000000"/>
                <w:sz w:val="18"/>
                <w:szCs w:val="18"/>
              </w:rPr>
              <w:t>- по чл.15 от Наредба № 11 от 10 юни 2004 г. за резерви от горива</w:t>
            </w:r>
          </w:p>
        </w:tc>
        <w:tc>
          <w:tcPr>
            <w:tcW w:w="816" w:type="dxa"/>
            <w:vAlign w:val="center"/>
          </w:tcPr>
          <w:p>
            <w:pPr>
              <w:jc w:val="center"/>
              <w:rPr>
                <w:b/>
                <w:bCs/>
                <w:color w:val="000000"/>
                <w:sz w:val="18"/>
                <w:szCs w:val="18"/>
              </w:rPr>
            </w:pPr>
            <w:r>
              <w:rPr>
                <w:b/>
                <w:bCs/>
                <w:color w:val="000000"/>
                <w:sz w:val="18"/>
                <w:szCs w:val="18"/>
                <w:lang w:val="en-US"/>
              </w:rPr>
              <w:t>t</w:t>
            </w:r>
          </w:p>
        </w:tc>
        <w:tc>
          <w:tcPr>
            <w:tcW w:w="1013" w:type="dxa"/>
            <w:shd w:val="clear" w:color="auto" w:fill="auto"/>
            <w:vAlign w:val="center"/>
            <w:hideMark/>
          </w:tcPr>
          <w:p>
            <w:pPr>
              <w:jc w:val="center"/>
              <w:rPr>
                <w:b/>
                <w:bCs/>
                <w:color w:val="000000"/>
                <w:sz w:val="18"/>
                <w:szCs w:val="18"/>
              </w:rPr>
            </w:pPr>
            <w:r>
              <w:rPr>
                <w:b/>
                <w:bCs/>
                <w:color w:val="000000"/>
                <w:sz w:val="18"/>
                <w:szCs w:val="18"/>
              </w:rPr>
              <w:t> </w:t>
            </w:r>
          </w:p>
        </w:tc>
        <w:tc>
          <w:tcPr>
            <w:tcW w:w="950" w:type="dxa"/>
            <w:shd w:val="clear" w:color="auto" w:fill="auto"/>
            <w:vAlign w:val="center"/>
            <w:hideMark/>
          </w:tcPr>
          <w:p>
            <w:pPr>
              <w:jc w:val="center"/>
              <w:rPr>
                <w:b/>
                <w:bCs/>
                <w:color w:val="000000"/>
                <w:sz w:val="18"/>
                <w:szCs w:val="18"/>
              </w:rPr>
            </w:pPr>
            <w:r>
              <w:rPr>
                <w:b/>
                <w:bCs/>
                <w:color w:val="000000"/>
                <w:sz w:val="18"/>
                <w:szCs w:val="18"/>
                <w:lang w:val="en-US"/>
              </w:rPr>
              <w:t> </w:t>
            </w:r>
          </w:p>
        </w:tc>
        <w:tc>
          <w:tcPr>
            <w:tcW w:w="860" w:type="dxa"/>
            <w:shd w:val="clear" w:color="auto" w:fill="auto"/>
            <w:vAlign w:val="center"/>
            <w:hideMark/>
          </w:tcPr>
          <w:p>
            <w:pPr>
              <w:jc w:val="center"/>
              <w:rPr>
                <w:b/>
                <w:bCs/>
                <w:color w:val="000000"/>
                <w:sz w:val="18"/>
                <w:szCs w:val="18"/>
              </w:rPr>
            </w:pPr>
          </w:p>
        </w:tc>
      </w:tr>
      <w:tr>
        <w:trPr>
          <w:trHeight w:val="300"/>
          <w:jc w:val="center"/>
        </w:trPr>
        <w:tc>
          <w:tcPr>
            <w:tcW w:w="1014" w:type="dxa"/>
            <w:shd w:val="clear" w:color="auto" w:fill="auto"/>
            <w:vAlign w:val="center"/>
            <w:hideMark/>
          </w:tcPr>
          <w:p>
            <w:pPr>
              <w:jc w:val="center"/>
              <w:rPr>
                <w:b/>
                <w:bCs/>
                <w:color w:val="000000"/>
                <w:sz w:val="18"/>
                <w:szCs w:val="18"/>
              </w:rPr>
            </w:pPr>
            <w:r>
              <w:rPr>
                <w:b/>
                <w:bCs/>
                <w:color w:val="000000"/>
                <w:sz w:val="18"/>
                <w:szCs w:val="18"/>
                <w:lang w:val="en-US"/>
              </w:rPr>
              <w:t>c=d*e*f*24</w:t>
            </w:r>
          </w:p>
        </w:tc>
        <w:tc>
          <w:tcPr>
            <w:tcW w:w="3037" w:type="dxa"/>
            <w:shd w:val="clear" w:color="auto" w:fill="auto"/>
            <w:vAlign w:val="center"/>
            <w:hideMark/>
          </w:tcPr>
          <w:p>
            <w:pPr>
              <w:jc w:val="both"/>
              <w:rPr>
                <w:b/>
                <w:bCs/>
                <w:color w:val="000000"/>
                <w:sz w:val="18"/>
                <w:szCs w:val="18"/>
              </w:rPr>
            </w:pPr>
            <w:r>
              <w:rPr>
                <w:b/>
                <w:bCs/>
                <w:color w:val="000000"/>
                <w:sz w:val="18"/>
                <w:szCs w:val="18"/>
              </w:rPr>
              <w:t>Съгласно договор за студен резерв</w:t>
            </w:r>
          </w:p>
        </w:tc>
        <w:tc>
          <w:tcPr>
            <w:tcW w:w="816" w:type="dxa"/>
            <w:vAlign w:val="center"/>
          </w:tcPr>
          <w:p>
            <w:pPr>
              <w:jc w:val="center"/>
              <w:rPr>
                <w:b/>
                <w:bCs/>
                <w:color w:val="000000"/>
                <w:sz w:val="18"/>
                <w:szCs w:val="18"/>
              </w:rPr>
            </w:pPr>
            <w:r>
              <w:rPr>
                <w:b/>
                <w:bCs/>
                <w:color w:val="000000"/>
                <w:sz w:val="18"/>
                <w:szCs w:val="18"/>
                <w:lang w:val="en-US"/>
              </w:rPr>
              <w:t>t</w:t>
            </w:r>
          </w:p>
        </w:tc>
        <w:tc>
          <w:tcPr>
            <w:tcW w:w="1013" w:type="dxa"/>
            <w:shd w:val="clear" w:color="auto" w:fill="auto"/>
            <w:vAlign w:val="center"/>
            <w:hideMark/>
          </w:tcPr>
          <w:p>
            <w:pPr>
              <w:rPr>
                <w:b/>
                <w:bCs/>
                <w:color w:val="000000"/>
                <w:sz w:val="18"/>
                <w:szCs w:val="18"/>
              </w:rPr>
            </w:pPr>
            <w:r>
              <w:rPr>
                <w:b/>
                <w:bCs/>
                <w:color w:val="000000"/>
                <w:sz w:val="18"/>
                <w:szCs w:val="18"/>
              </w:rPr>
              <w:t> </w:t>
            </w:r>
          </w:p>
        </w:tc>
        <w:tc>
          <w:tcPr>
            <w:tcW w:w="950" w:type="dxa"/>
            <w:shd w:val="clear" w:color="auto" w:fill="auto"/>
            <w:vAlign w:val="center"/>
            <w:hideMark/>
          </w:tcPr>
          <w:p>
            <w:pPr>
              <w:jc w:val="center"/>
              <w:rPr>
                <w:b/>
                <w:bCs/>
                <w:color w:val="000000"/>
                <w:sz w:val="18"/>
                <w:szCs w:val="18"/>
              </w:rPr>
            </w:pPr>
            <w:r>
              <w:rPr>
                <w:b/>
                <w:bCs/>
                <w:color w:val="000000"/>
                <w:sz w:val="18"/>
                <w:szCs w:val="18"/>
                <w:lang w:val="en-US"/>
              </w:rPr>
              <w:t> </w:t>
            </w:r>
          </w:p>
        </w:tc>
        <w:tc>
          <w:tcPr>
            <w:tcW w:w="860" w:type="dxa"/>
            <w:shd w:val="clear" w:color="auto" w:fill="auto"/>
            <w:vAlign w:val="center"/>
            <w:hideMark/>
          </w:tcPr>
          <w:p>
            <w:pPr>
              <w:jc w:val="center"/>
              <w:rPr>
                <w:b/>
                <w:bCs/>
                <w:color w:val="000000"/>
                <w:sz w:val="18"/>
                <w:szCs w:val="18"/>
              </w:rPr>
            </w:pPr>
            <w:r>
              <w:rPr>
                <w:b/>
                <w:bCs/>
                <w:color w:val="000000"/>
                <w:sz w:val="18"/>
                <w:szCs w:val="18"/>
              </w:rPr>
              <w:t> </w:t>
            </w:r>
          </w:p>
        </w:tc>
      </w:tr>
      <w:tr>
        <w:trPr>
          <w:trHeight w:val="330"/>
          <w:jc w:val="center"/>
        </w:trPr>
        <w:tc>
          <w:tcPr>
            <w:tcW w:w="1014" w:type="dxa"/>
            <w:shd w:val="clear" w:color="auto" w:fill="auto"/>
            <w:vAlign w:val="center"/>
            <w:hideMark/>
          </w:tcPr>
          <w:p>
            <w:pPr>
              <w:jc w:val="center"/>
              <w:rPr>
                <w:color w:val="000000"/>
                <w:sz w:val="18"/>
                <w:szCs w:val="18"/>
              </w:rPr>
            </w:pPr>
            <w:r>
              <w:rPr>
                <w:color w:val="000000"/>
                <w:sz w:val="18"/>
                <w:szCs w:val="18"/>
                <w:lang w:val="en-US"/>
              </w:rPr>
              <w:t>d</w:t>
            </w:r>
          </w:p>
        </w:tc>
        <w:tc>
          <w:tcPr>
            <w:tcW w:w="3037" w:type="dxa"/>
            <w:shd w:val="clear" w:color="auto" w:fill="auto"/>
            <w:vAlign w:val="center"/>
            <w:hideMark/>
          </w:tcPr>
          <w:p>
            <w:pPr>
              <w:jc w:val="both"/>
              <w:rPr>
                <w:color w:val="000000"/>
                <w:sz w:val="18"/>
                <w:szCs w:val="18"/>
              </w:rPr>
            </w:pPr>
            <w:r>
              <w:rPr>
                <w:color w:val="000000"/>
                <w:sz w:val="18"/>
                <w:szCs w:val="18"/>
              </w:rPr>
              <w:t>Договорена брутна разполагаема мощност за студен резерв</w:t>
            </w:r>
          </w:p>
        </w:tc>
        <w:tc>
          <w:tcPr>
            <w:tcW w:w="816" w:type="dxa"/>
            <w:vAlign w:val="center"/>
          </w:tcPr>
          <w:p>
            <w:pPr>
              <w:jc w:val="center"/>
              <w:rPr>
                <w:color w:val="000000"/>
                <w:sz w:val="18"/>
                <w:szCs w:val="18"/>
              </w:rPr>
            </w:pPr>
            <w:r>
              <w:rPr>
                <w:color w:val="000000"/>
                <w:sz w:val="18"/>
                <w:szCs w:val="18"/>
                <w:lang w:val="en-US"/>
              </w:rPr>
              <w:t>MW</w:t>
            </w:r>
          </w:p>
        </w:tc>
        <w:tc>
          <w:tcPr>
            <w:tcW w:w="1013" w:type="dxa"/>
            <w:shd w:val="clear" w:color="auto" w:fill="auto"/>
            <w:vAlign w:val="center"/>
            <w:hideMark/>
          </w:tcPr>
          <w:p>
            <w:pPr>
              <w:rPr>
                <w:color w:val="000000"/>
                <w:sz w:val="18"/>
                <w:szCs w:val="18"/>
              </w:rPr>
            </w:pPr>
            <w:r>
              <w:rPr>
                <w:color w:val="000000"/>
                <w:sz w:val="18"/>
                <w:szCs w:val="18"/>
              </w:rPr>
              <w:t> </w:t>
            </w:r>
          </w:p>
        </w:tc>
        <w:tc>
          <w:tcPr>
            <w:tcW w:w="950" w:type="dxa"/>
            <w:shd w:val="clear" w:color="auto" w:fill="auto"/>
            <w:vAlign w:val="center"/>
            <w:hideMark/>
          </w:tcPr>
          <w:p>
            <w:pPr>
              <w:jc w:val="center"/>
              <w:rPr>
                <w:color w:val="000000"/>
                <w:sz w:val="18"/>
                <w:szCs w:val="18"/>
              </w:rPr>
            </w:pPr>
            <w:r>
              <w:rPr>
                <w:color w:val="000000"/>
                <w:sz w:val="18"/>
                <w:szCs w:val="18"/>
                <w:lang w:val="en-US"/>
              </w:rPr>
              <w:t> </w:t>
            </w:r>
          </w:p>
        </w:tc>
        <w:tc>
          <w:tcPr>
            <w:tcW w:w="860" w:type="dxa"/>
            <w:shd w:val="clear" w:color="auto" w:fill="auto"/>
            <w:vAlign w:val="center"/>
            <w:hideMark/>
          </w:tcPr>
          <w:p>
            <w:pPr>
              <w:jc w:val="center"/>
              <w:rPr>
                <w:color w:val="000000"/>
                <w:sz w:val="18"/>
                <w:szCs w:val="18"/>
              </w:rPr>
            </w:pPr>
            <w:r>
              <w:rPr>
                <w:color w:val="000000"/>
                <w:sz w:val="18"/>
                <w:szCs w:val="18"/>
              </w:rPr>
              <w:t> </w:t>
            </w:r>
          </w:p>
        </w:tc>
      </w:tr>
      <w:tr>
        <w:trPr>
          <w:trHeight w:val="300"/>
          <w:jc w:val="center"/>
        </w:trPr>
        <w:tc>
          <w:tcPr>
            <w:tcW w:w="1014" w:type="dxa"/>
            <w:shd w:val="clear" w:color="auto" w:fill="auto"/>
            <w:vAlign w:val="center"/>
            <w:hideMark/>
          </w:tcPr>
          <w:p>
            <w:pPr>
              <w:jc w:val="center"/>
              <w:rPr>
                <w:color w:val="000000"/>
                <w:sz w:val="18"/>
                <w:szCs w:val="18"/>
              </w:rPr>
            </w:pPr>
            <w:r>
              <w:rPr>
                <w:color w:val="000000"/>
                <w:sz w:val="18"/>
                <w:szCs w:val="18"/>
                <w:lang w:val="en-US"/>
              </w:rPr>
              <w:t>e</w:t>
            </w:r>
          </w:p>
        </w:tc>
        <w:tc>
          <w:tcPr>
            <w:tcW w:w="3037" w:type="dxa"/>
            <w:shd w:val="clear" w:color="auto" w:fill="auto"/>
            <w:vAlign w:val="center"/>
            <w:hideMark/>
          </w:tcPr>
          <w:p>
            <w:pPr>
              <w:jc w:val="both"/>
              <w:rPr>
                <w:color w:val="000000"/>
                <w:sz w:val="18"/>
                <w:szCs w:val="18"/>
              </w:rPr>
            </w:pPr>
            <w:r>
              <w:rPr>
                <w:color w:val="000000"/>
                <w:sz w:val="18"/>
                <w:szCs w:val="18"/>
              </w:rPr>
              <w:t xml:space="preserve">Среден разход на гориво на блок </w:t>
            </w:r>
          </w:p>
        </w:tc>
        <w:tc>
          <w:tcPr>
            <w:tcW w:w="816" w:type="dxa"/>
            <w:vAlign w:val="center"/>
          </w:tcPr>
          <w:p>
            <w:pPr>
              <w:jc w:val="center"/>
              <w:rPr>
                <w:color w:val="000000"/>
                <w:sz w:val="18"/>
                <w:szCs w:val="18"/>
              </w:rPr>
            </w:pPr>
            <w:r>
              <w:rPr>
                <w:color w:val="000000"/>
                <w:sz w:val="18"/>
                <w:szCs w:val="18"/>
                <w:lang w:val="en-US"/>
              </w:rPr>
              <w:t>t/</w:t>
            </w:r>
            <w:proofErr w:type="spellStart"/>
            <w:r>
              <w:rPr>
                <w:color w:val="000000"/>
                <w:sz w:val="18"/>
                <w:szCs w:val="18"/>
                <w:lang w:val="en-US"/>
              </w:rPr>
              <w:t>MWh</w:t>
            </w:r>
            <w:proofErr w:type="spellEnd"/>
          </w:p>
        </w:tc>
        <w:tc>
          <w:tcPr>
            <w:tcW w:w="1013" w:type="dxa"/>
            <w:shd w:val="clear" w:color="auto" w:fill="auto"/>
            <w:vAlign w:val="center"/>
            <w:hideMark/>
          </w:tcPr>
          <w:p>
            <w:pPr>
              <w:rPr>
                <w:color w:val="000000"/>
                <w:sz w:val="18"/>
                <w:szCs w:val="18"/>
              </w:rPr>
            </w:pPr>
            <w:r>
              <w:rPr>
                <w:color w:val="000000"/>
                <w:sz w:val="18"/>
                <w:szCs w:val="18"/>
              </w:rPr>
              <w:t> </w:t>
            </w:r>
          </w:p>
        </w:tc>
        <w:tc>
          <w:tcPr>
            <w:tcW w:w="950" w:type="dxa"/>
            <w:shd w:val="clear" w:color="auto" w:fill="auto"/>
            <w:vAlign w:val="center"/>
            <w:hideMark/>
          </w:tcPr>
          <w:p>
            <w:pPr>
              <w:jc w:val="center"/>
              <w:rPr>
                <w:color w:val="000000"/>
                <w:sz w:val="18"/>
                <w:szCs w:val="18"/>
              </w:rPr>
            </w:pPr>
            <w:r>
              <w:rPr>
                <w:color w:val="000000"/>
                <w:sz w:val="18"/>
                <w:szCs w:val="18"/>
                <w:lang w:val="en-US"/>
              </w:rPr>
              <w:t> </w:t>
            </w:r>
          </w:p>
        </w:tc>
        <w:tc>
          <w:tcPr>
            <w:tcW w:w="860" w:type="dxa"/>
            <w:shd w:val="clear" w:color="auto" w:fill="auto"/>
            <w:vAlign w:val="center"/>
            <w:hideMark/>
          </w:tcPr>
          <w:p>
            <w:pPr>
              <w:jc w:val="center"/>
              <w:rPr>
                <w:color w:val="000000"/>
                <w:sz w:val="18"/>
                <w:szCs w:val="18"/>
              </w:rPr>
            </w:pPr>
            <w:r>
              <w:rPr>
                <w:color w:val="000000"/>
                <w:sz w:val="18"/>
                <w:szCs w:val="18"/>
              </w:rPr>
              <w:t> </w:t>
            </w:r>
          </w:p>
        </w:tc>
      </w:tr>
      <w:tr>
        <w:trPr>
          <w:trHeight w:val="660"/>
          <w:jc w:val="center"/>
        </w:trPr>
        <w:tc>
          <w:tcPr>
            <w:tcW w:w="1014" w:type="dxa"/>
            <w:shd w:val="clear" w:color="auto" w:fill="auto"/>
            <w:vAlign w:val="center"/>
            <w:hideMark/>
          </w:tcPr>
          <w:p>
            <w:pPr>
              <w:jc w:val="center"/>
              <w:rPr>
                <w:color w:val="000000"/>
                <w:sz w:val="18"/>
                <w:szCs w:val="18"/>
              </w:rPr>
            </w:pPr>
            <w:r>
              <w:rPr>
                <w:color w:val="000000"/>
                <w:sz w:val="18"/>
                <w:szCs w:val="18"/>
                <w:lang w:val="en-US"/>
              </w:rPr>
              <w:t>f</w:t>
            </w:r>
          </w:p>
        </w:tc>
        <w:tc>
          <w:tcPr>
            <w:tcW w:w="3037" w:type="dxa"/>
            <w:shd w:val="clear" w:color="auto" w:fill="auto"/>
            <w:vAlign w:val="center"/>
            <w:hideMark/>
          </w:tcPr>
          <w:p>
            <w:pPr>
              <w:jc w:val="both"/>
              <w:rPr>
                <w:color w:val="000000"/>
                <w:sz w:val="18"/>
                <w:szCs w:val="18"/>
              </w:rPr>
            </w:pPr>
            <w:r>
              <w:rPr>
                <w:color w:val="000000"/>
                <w:sz w:val="18"/>
                <w:szCs w:val="18"/>
              </w:rPr>
              <w:t>Брой денонощия с поддържано необходимо количество гориво, осигуряващо работа на предлагания блок за студен резерв (съгласно II.1.1, А÷Г от тръжното задание</w:t>
            </w:r>
            <w:bookmarkStart w:id="2" w:name="_GoBack"/>
            <w:bookmarkEnd w:id="2"/>
            <w:r>
              <w:rPr>
                <w:color w:val="000000"/>
                <w:sz w:val="18"/>
                <w:szCs w:val="18"/>
              </w:rPr>
              <w:t>)</w:t>
            </w:r>
          </w:p>
        </w:tc>
        <w:tc>
          <w:tcPr>
            <w:tcW w:w="816" w:type="dxa"/>
            <w:vAlign w:val="center"/>
          </w:tcPr>
          <w:p>
            <w:pPr>
              <w:jc w:val="center"/>
              <w:rPr>
                <w:color w:val="000000"/>
                <w:sz w:val="18"/>
                <w:szCs w:val="18"/>
              </w:rPr>
            </w:pPr>
            <w:r>
              <w:rPr>
                <w:color w:val="000000"/>
                <w:sz w:val="18"/>
                <w:szCs w:val="18"/>
              </w:rPr>
              <w:t>Бр.</w:t>
            </w:r>
          </w:p>
        </w:tc>
        <w:tc>
          <w:tcPr>
            <w:tcW w:w="1013" w:type="dxa"/>
            <w:shd w:val="clear" w:color="auto" w:fill="auto"/>
            <w:vAlign w:val="center"/>
            <w:hideMark/>
          </w:tcPr>
          <w:p>
            <w:pPr>
              <w:rPr>
                <w:color w:val="000000"/>
                <w:sz w:val="18"/>
                <w:szCs w:val="18"/>
              </w:rPr>
            </w:pPr>
            <w:r>
              <w:rPr>
                <w:color w:val="000000"/>
                <w:sz w:val="18"/>
                <w:szCs w:val="18"/>
              </w:rPr>
              <w:t> </w:t>
            </w:r>
          </w:p>
        </w:tc>
        <w:tc>
          <w:tcPr>
            <w:tcW w:w="950" w:type="dxa"/>
            <w:shd w:val="clear" w:color="auto" w:fill="auto"/>
            <w:vAlign w:val="center"/>
            <w:hideMark/>
          </w:tcPr>
          <w:p>
            <w:pPr>
              <w:jc w:val="center"/>
              <w:rPr>
                <w:color w:val="000000"/>
                <w:sz w:val="18"/>
                <w:szCs w:val="18"/>
              </w:rPr>
            </w:pPr>
            <w:r>
              <w:rPr>
                <w:color w:val="000000"/>
                <w:sz w:val="18"/>
                <w:szCs w:val="18"/>
              </w:rPr>
              <w:t> </w:t>
            </w:r>
          </w:p>
        </w:tc>
        <w:tc>
          <w:tcPr>
            <w:tcW w:w="860" w:type="dxa"/>
            <w:shd w:val="clear" w:color="auto" w:fill="auto"/>
            <w:vAlign w:val="center"/>
            <w:hideMark/>
          </w:tcPr>
          <w:p>
            <w:pPr>
              <w:jc w:val="center"/>
              <w:rPr>
                <w:color w:val="000000"/>
                <w:sz w:val="18"/>
                <w:szCs w:val="18"/>
              </w:rPr>
            </w:pPr>
            <w:r>
              <w:rPr>
                <w:color w:val="000000"/>
                <w:sz w:val="18"/>
                <w:szCs w:val="18"/>
              </w:rPr>
              <w:t> </w:t>
            </w:r>
          </w:p>
        </w:tc>
      </w:tr>
    </w:tbl>
    <w:p>
      <w:pPr>
        <w:jc w:val="both"/>
      </w:pPr>
    </w:p>
    <w:p>
      <w:pPr>
        <w:jc w:val="both"/>
      </w:pPr>
    </w:p>
    <w:p>
      <w:pPr>
        <w:jc w:val="both"/>
      </w:pPr>
    </w:p>
    <w:p>
      <w:pPr>
        <w:jc w:val="both"/>
        <w:rPr>
          <w:b/>
        </w:rPr>
      </w:pPr>
    </w:p>
    <w:p>
      <w:pPr>
        <w:jc w:val="both"/>
        <w:rPr>
          <w:b/>
        </w:rPr>
      </w:pPr>
    </w:p>
    <w:p>
      <w:pPr>
        <w:jc w:val="both"/>
        <w:rPr>
          <w:b/>
        </w:rPr>
      </w:pPr>
      <w:r>
        <w:rPr>
          <w:b/>
        </w:rPr>
        <w:t>ЗА ДОСТАВЧИКА:</w:t>
      </w:r>
      <w:r>
        <w:rPr>
          <w:b/>
        </w:rPr>
        <w:tab/>
      </w:r>
      <w:r>
        <w:rPr>
          <w:b/>
        </w:rPr>
        <w:tab/>
      </w:r>
      <w:r>
        <w:rPr>
          <w:b/>
        </w:rPr>
        <w:tab/>
      </w:r>
      <w:r>
        <w:rPr>
          <w:b/>
        </w:rPr>
        <w:tab/>
      </w:r>
      <w:r>
        <w:rPr>
          <w:b/>
        </w:rPr>
        <w:tab/>
        <w:t>ЗА ОПЕРАТОРА:</w:t>
      </w:r>
      <w:r>
        <w:rPr>
          <w:b/>
        </w:rPr>
        <w:tab/>
      </w:r>
      <w:r>
        <w:rPr>
          <w:b/>
        </w:rPr>
        <w:tab/>
      </w:r>
      <w:r>
        <w:rPr>
          <w:b/>
        </w:rPr>
        <w:tab/>
      </w:r>
      <w:r>
        <w:rPr>
          <w:b/>
        </w:rPr>
        <w:tab/>
      </w:r>
      <w:r>
        <w:rPr>
          <w:b/>
        </w:rPr>
        <w:tab/>
      </w:r>
    </w:p>
    <w:p>
      <w:pPr>
        <w:jc w:val="both"/>
      </w:pPr>
      <w:r>
        <w:t xml:space="preserve">...................................... </w:t>
      </w:r>
      <w:r>
        <w:tab/>
      </w:r>
      <w:r>
        <w:tab/>
      </w:r>
      <w:r>
        <w:tab/>
      </w:r>
      <w:r>
        <w:tab/>
      </w:r>
      <w:r>
        <w:tab/>
        <w:t>....................................</w:t>
      </w:r>
    </w:p>
    <w:p>
      <w:pPr>
        <w:jc w:val="both"/>
      </w:pPr>
    </w:p>
    <w:sectPr>
      <w:headerReference w:type="even" r:id="rId8"/>
      <w:headerReference w:type="default" r:id="rId9"/>
      <w:footerReference w:type="default" r:id="rId10"/>
      <w:pgSz w:w="11906" w:h="16838" w:code="9"/>
      <w:pgMar w:top="1276" w:right="1134" w:bottom="1985"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sz w:val="20"/>
        <w:szCs w:val="20"/>
      </w:rPr>
      <w:t>Договор за Студен резерв</w:t>
    </w:r>
    <w:r>
      <w:rPr>
        <w:sz w:val="20"/>
        <w:szCs w:val="20"/>
        <w:lang w:val="ru-RU"/>
      </w:rPr>
      <w:tab/>
    </w:r>
    <w:r>
      <w:rPr>
        <w:sz w:val="20"/>
        <w:szCs w:val="20"/>
        <w:lang w:val="ru-RU"/>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14</w:t>
    </w:r>
    <w:r>
      <w:rPr>
        <w:rStyle w:val="PageNumber"/>
        <w:sz w:val="20"/>
        <w:szCs w:val="20"/>
      </w:rPr>
      <w:fldChar w:fldCharType="end"/>
    </w:r>
    <w:r>
      <w:rPr>
        <w:rStyle w:val="PageNumber"/>
        <w:sz w:val="20"/>
        <w:szCs w:val="20"/>
        <w:lang w:val="ru-RU"/>
      </w:rPr>
      <w:t>/</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14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C85"/>
    <w:multiLevelType w:val="hybridMultilevel"/>
    <w:tmpl w:val="5DE80504"/>
    <w:lvl w:ilvl="0" w:tplc="2E446B64">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nsid w:val="031C7A82"/>
    <w:multiLevelType w:val="multilevel"/>
    <w:tmpl w:val="D2083DBE"/>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1391"/>
        </w:tabs>
        <w:ind w:left="1391" w:hanging="851"/>
      </w:pPr>
      <w:rPr>
        <w:rFonts w:ascii="Times New Roman" w:hAnsi="Times New Roman" w:cs="Times New Roman" w:hint="default"/>
        <w:b w:val="0"/>
        <w:i w:val="0"/>
        <w:sz w:val="22"/>
      </w:rPr>
    </w:lvl>
    <w:lvl w:ilvl="3">
      <w:start w:val="1"/>
      <w:numFmt w:val="decimal"/>
      <w:lvlText w:val="(%4)"/>
      <w:lvlJc w:val="left"/>
      <w:pPr>
        <w:tabs>
          <w:tab w:val="num" w:pos="889"/>
        </w:tabs>
        <w:ind w:left="88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tabs>
          <w:tab w:val="num" w:pos="0"/>
        </w:tabs>
        <w:ind w:left="1310" w:hanging="363"/>
      </w:pPr>
      <w:rPr>
        <w:rFonts w:ascii="Symbol" w:hAnsi="Symbol"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33"/>
      <w:numFmt w:val="decimal"/>
      <w:lvlText w:val="%9."/>
      <w:lvlJc w:val="left"/>
      <w:pPr>
        <w:tabs>
          <w:tab w:val="num" w:pos="3240"/>
        </w:tabs>
        <w:ind w:left="3240" w:hanging="360"/>
      </w:pPr>
      <w:rPr>
        <w:rFonts w:cs="Times New Roman" w:hint="default"/>
        <w:b/>
        <w:i w:val="0"/>
        <w:sz w:val="24"/>
      </w:rPr>
    </w:lvl>
  </w:abstractNum>
  <w:abstractNum w:abstractNumId="2">
    <w:nsid w:val="03DF4130"/>
    <w:multiLevelType w:val="multilevel"/>
    <w:tmpl w:val="B0203EA2"/>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1391"/>
        </w:tabs>
        <w:ind w:left="1391" w:hanging="851"/>
      </w:pPr>
      <w:rPr>
        <w:rFonts w:ascii="Times New Roman" w:hAnsi="Times New Roman" w:cs="Times New Roman" w:hint="default"/>
        <w:b w:val="0"/>
        <w:i w:val="0"/>
        <w:sz w:val="22"/>
      </w:rPr>
    </w:lvl>
    <w:lvl w:ilvl="3">
      <w:start w:val="1"/>
      <w:numFmt w:val="decimal"/>
      <w:lvlText w:val="(%4)"/>
      <w:lvlJc w:val="left"/>
      <w:pPr>
        <w:tabs>
          <w:tab w:val="num" w:pos="889"/>
        </w:tabs>
        <w:ind w:left="88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tabs>
          <w:tab w:val="num" w:pos="0"/>
        </w:tabs>
        <w:ind w:left="1310" w:hanging="363"/>
      </w:pPr>
      <w:rPr>
        <w:rFonts w:ascii="Symbol" w:hAnsi="Symbol"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b/>
        <w:i w:val="0"/>
        <w:sz w:val="24"/>
      </w:rPr>
    </w:lvl>
  </w:abstractNum>
  <w:abstractNum w:abstractNumId="3">
    <w:nsid w:val="0C571879"/>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nsid w:val="0EA63B1B"/>
    <w:multiLevelType w:val="hybridMultilevel"/>
    <w:tmpl w:val="6B96B8F0"/>
    <w:lvl w:ilvl="0" w:tplc="494EBEC2">
      <w:start w:val="2"/>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69EC22D8">
      <w:start w:val="1"/>
      <w:numFmt w:val="decimal"/>
      <w:lvlText w:val="(%4)"/>
      <w:lvlJc w:val="left"/>
      <w:pPr>
        <w:tabs>
          <w:tab w:val="num" w:pos="2880"/>
        </w:tabs>
        <w:ind w:left="2880" w:hanging="360"/>
      </w:pPr>
      <w:rPr>
        <w:rFonts w:ascii="Times New Roman" w:eastAsia="Times New Roman" w:hAnsi="Times New Roman"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
    <w:nsid w:val="13304B39"/>
    <w:multiLevelType w:val="hybridMultilevel"/>
    <w:tmpl w:val="7F289AFE"/>
    <w:lvl w:ilvl="0" w:tplc="D63093B2">
      <w:start w:val="1"/>
      <w:numFmt w:val="decimal"/>
      <w:lvlText w:val="%1."/>
      <w:lvlJc w:val="left"/>
      <w:pPr>
        <w:ind w:left="786" w:hanging="360"/>
      </w:pPr>
      <w:rPr>
        <w:rFonts w:cs="Times New Roman" w:hint="default"/>
      </w:rPr>
    </w:lvl>
    <w:lvl w:ilvl="1" w:tplc="04020019" w:tentative="1">
      <w:start w:val="1"/>
      <w:numFmt w:val="lowerLetter"/>
      <w:lvlText w:val="%2."/>
      <w:lvlJc w:val="left"/>
      <w:pPr>
        <w:ind w:left="1506" w:hanging="360"/>
      </w:pPr>
      <w:rPr>
        <w:rFonts w:cs="Times New Roman"/>
      </w:rPr>
    </w:lvl>
    <w:lvl w:ilvl="2" w:tplc="0402001B" w:tentative="1">
      <w:start w:val="1"/>
      <w:numFmt w:val="lowerRoman"/>
      <w:lvlText w:val="%3."/>
      <w:lvlJc w:val="right"/>
      <w:pPr>
        <w:ind w:left="2226" w:hanging="180"/>
      </w:pPr>
      <w:rPr>
        <w:rFonts w:cs="Times New Roman"/>
      </w:rPr>
    </w:lvl>
    <w:lvl w:ilvl="3" w:tplc="0402000F" w:tentative="1">
      <w:start w:val="1"/>
      <w:numFmt w:val="decimal"/>
      <w:lvlText w:val="%4."/>
      <w:lvlJc w:val="left"/>
      <w:pPr>
        <w:ind w:left="2946" w:hanging="360"/>
      </w:pPr>
      <w:rPr>
        <w:rFonts w:cs="Times New Roman"/>
      </w:rPr>
    </w:lvl>
    <w:lvl w:ilvl="4" w:tplc="04020019" w:tentative="1">
      <w:start w:val="1"/>
      <w:numFmt w:val="lowerLetter"/>
      <w:lvlText w:val="%5."/>
      <w:lvlJc w:val="left"/>
      <w:pPr>
        <w:ind w:left="3666" w:hanging="360"/>
      </w:pPr>
      <w:rPr>
        <w:rFonts w:cs="Times New Roman"/>
      </w:rPr>
    </w:lvl>
    <w:lvl w:ilvl="5" w:tplc="0402001B" w:tentative="1">
      <w:start w:val="1"/>
      <w:numFmt w:val="lowerRoman"/>
      <w:lvlText w:val="%6."/>
      <w:lvlJc w:val="right"/>
      <w:pPr>
        <w:ind w:left="4386" w:hanging="180"/>
      </w:pPr>
      <w:rPr>
        <w:rFonts w:cs="Times New Roman"/>
      </w:rPr>
    </w:lvl>
    <w:lvl w:ilvl="6" w:tplc="0402000F" w:tentative="1">
      <w:start w:val="1"/>
      <w:numFmt w:val="decimal"/>
      <w:lvlText w:val="%7."/>
      <w:lvlJc w:val="left"/>
      <w:pPr>
        <w:ind w:left="5106" w:hanging="360"/>
      </w:pPr>
      <w:rPr>
        <w:rFonts w:cs="Times New Roman"/>
      </w:rPr>
    </w:lvl>
    <w:lvl w:ilvl="7" w:tplc="04020019" w:tentative="1">
      <w:start w:val="1"/>
      <w:numFmt w:val="lowerLetter"/>
      <w:lvlText w:val="%8."/>
      <w:lvlJc w:val="left"/>
      <w:pPr>
        <w:ind w:left="5826" w:hanging="360"/>
      </w:pPr>
      <w:rPr>
        <w:rFonts w:cs="Times New Roman"/>
      </w:rPr>
    </w:lvl>
    <w:lvl w:ilvl="8" w:tplc="0402001B" w:tentative="1">
      <w:start w:val="1"/>
      <w:numFmt w:val="lowerRoman"/>
      <w:lvlText w:val="%9."/>
      <w:lvlJc w:val="right"/>
      <w:pPr>
        <w:ind w:left="6546" w:hanging="180"/>
      </w:pPr>
      <w:rPr>
        <w:rFonts w:cs="Times New Roman"/>
      </w:rPr>
    </w:lvl>
  </w:abstractNum>
  <w:abstractNum w:abstractNumId="6">
    <w:nsid w:val="18E83F77"/>
    <w:multiLevelType w:val="hybridMultilevel"/>
    <w:tmpl w:val="05BAF7A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1BD73884"/>
    <w:multiLevelType w:val="hybridMultilevel"/>
    <w:tmpl w:val="B25885B2"/>
    <w:lvl w:ilvl="0" w:tplc="888838B2">
      <w:start w:val="8"/>
      <w:numFmt w:val="decimal"/>
      <w:lvlText w:val="Чл.%1."/>
      <w:lvlJc w:val="left"/>
      <w:pPr>
        <w:tabs>
          <w:tab w:val="num" w:pos="720"/>
        </w:tabs>
      </w:pPr>
      <w:rPr>
        <w:rFonts w:cs="Times New Roman" w:hint="default"/>
        <w:b w:val="0"/>
        <w:i w:val="0"/>
        <w:caps w:val="0"/>
        <w:strike w:val="0"/>
        <w:dstrik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BD55F3"/>
    <w:multiLevelType w:val="hybridMultilevel"/>
    <w:tmpl w:val="44FC0364"/>
    <w:lvl w:ilvl="0" w:tplc="5922D900">
      <w:start w:val="1"/>
      <w:numFmt w:val="lowerRoman"/>
      <w:lvlText w:val="%1."/>
      <w:lvlJc w:val="left"/>
      <w:pPr>
        <w:ind w:left="2136" w:hanging="720"/>
      </w:pPr>
      <w:rPr>
        <w:rFonts w:cs="Times New Roman" w:hint="default"/>
      </w:rPr>
    </w:lvl>
    <w:lvl w:ilvl="1" w:tplc="04020019" w:tentative="1">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9">
    <w:nsid w:val="219A3A2B"/>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nsid w:val="259C0B92"/>
    <w:multiLevelType w:val="multilevel"/>
    <w:tmpl w:val="3A82D7B6"/>
    <w:lvl w:ilvl="0">
      <w:start w:val="1"/>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nsid w:val="261078FD"/>
    <w:multiLevelType w:val="multilevel"/>
    <w:tmpl w:val="308241B0"/>
    <w:lvl w:ilvl="0">
      <w:start w:val="1"/>
      <w:numFmt w:val="decimal"/>
      <w:lvlText w:val="%1."/>
      <w:lvlJc w:val="left"/>
      <w:pPr>
        <w:tabs>
          <w:tab w:val="num" w:pos="644"/>
        </w:tabs>
        <w:ind w:left="644" w:hanging="360"/>
      </w:pPr>
      <w:rPr>
        <w:rFonts w:cs="Times New Roman" w:hint="default"/>
        <w:b/>
      </w:rPr>
    </w:lvl>
    <w:lvl w:ilvl="1">
      <w:start w:val="2"/>
      <w:numFmt w:val="decimal"/>
      <w:isLgl/>
      <w:lvlText w:val="%1.%2."/>
      <w:lvlJc w:val="left"/>
      <w:pPr>
        <w:tabs>
          <w:tab w:val="num" w:pos="1349"/>
        </w:tabs>
        <w:ind w:left="1349" w:hanging="360"/>
      </w:pPr>
      <w:rPr>
        <w:rFonts w:cs="Times New Roman" w:hint="default"/>
      </w:rPr>
    </w:lvl>
    <w:lvl w:ilvl="2">
      <w:start w:val="1"/>
      <w:numFmt w:val="decimal"/>
      <w:isLgl/>
      <w:lvlText w:val="%1.%2.%3."/>
      <w:lvlJc w:val="left"/>
      <w:pPr>
        <w:tabs>
          <w:tab w:val="num" w:pos="1709"/>
        </w:tabs>
        <w:ind w:left="1709" w:hanging="720"/>
      </w:pPr>
      <w:rPr>
        <w:rFonts w:cs="Times New Roman" w:hint="default"/>
      </w:rPr>
    </w:lvl>
    <w:lvl w:ilvl="3">
      <w:start w:val="1"/>
      <w:numFmt w:val="decimal"/>
      <w:isLgl/>
      <w:lvlText w:val="%1.%2.%3.%4."/>
      <w:lvlJc w:val="left"/>
      <w:pPr>
        <w:tabs>
          <w:tab w:val="num" w:pos="1709"/>
        </w:tabs>
        <w:ind w:left="1709" w:hanging="720"/>
      </w:pPr>
      <w:rPr>
        <w:rFonts w:cs="Times New Roman" w:hint="default"/>
      </w:rPr>
    </w:lvl>
    <w:lvl w:ilvl="4">
      <w:start w:val="1"/>
      <w:numFmt w:val="decimal"/>
      <w:isLgl/>
      <w:lvlText w:val="%1.%2.%3.%4.%5."/>
      <w:lvlJc w:val="left"/>
      <w:pPr>
        <w:tabs>
          <w:tab w:val="num" w:pos="2069"/>
        </w:tabs>
        <w:ind w:left="2069" w:hanging="1080"/>
      </w:pPr>
      <w:rPr>
        <w:rFonts w:cs="Times New Roman" w:hint="default"/>
      </w:rPr>
    </w:lvl>
    <w:lvl w:ilvl="5">
      <w:start w:val="1"/>
      <w:numFmt w:val="decimal"/>
      <w:isLgl/>
      <w:lvlText w:val="%1.%2.%3.%4.%5.%6."/>
      <w:lvlJc w:val="left"/>
      <w:pPr>
        <w:tabs>
          <w:tab w:val="num" w:pos="2069"/>
        </w:tabs>
        <w:ind w:left="2069" w:hanging="1080"/>
      </w:pPr>
      <w:rPr>
        <w:rFonts w:cs="Times New Roman" w:hint="default"/>
      </w:rPr>
    </w:lvl>
    <w:lvl w:ilvl="6">
      <w:start w:val="1"/>
      <w:numFmt w:val="decimal"/>
      <w:isLgl/>
      <w:lvlText w:val="%1.%2.%3.%4.%5.%6.%7."/>
      <w:lvlJc w:val="left"/>
      <w:pPr>
        <w:tabs>
          <w:tab w:val="num" w:pos="2429"/>
        </w:tabs>
        <w:ind w:left="2429" w:hanging="1440"/>
      </w:pPr>
      <w:rPr>
        <w:rFonts w:cs="Times New Roman" w:hint="default"/>
      </w:rPr>
    </w:lvl>
    <w:lvl w:ilvl="7">
      <w:start w:val="1"/>
      <w:numFmt w:val="decimal"/>
      <w:isLgl/>
      <w:lvlText w:val="%1.%2.%3.%4.%5.%6.%7.%8."/>
      <w:lvlJc w:val="left"/>
      <w:pPr>
        <w:tabs>
          <w:tab w:val="num" w:pos="2429"/>
        </w:tabs>
        <w:ind w:left="2429" w:hanging="1440"/>
      </w:pPr>
      <w:rPr>
        <w:rFonts w:cs="Times New Roman" w:hint="default"/>
      </w:rPr>
    </w:lvl>
    <w:lvl w:ilvl="8">
      <w:start w:val="1"/>
      <w:numFmt w:val="decimal"/>
      <w:isLgl/>
      <w:lvlText w:val="%1.%2.%3.%4.%5.%6.%7.%8.%9."/>
      <w:lvlJc w:val="left"/>
      <w:pPr>
        <w:tabs>
          <w:tab w:val="num" w:pos="2789"/>
        </w:tabs>
        <w:ind w:left="2789" w:hanging="1800"/>
      </w:pPr>
      <w:rPr>
        <w:rFonts w:cs="Times New Roman" w:hint="default"/>
      </w:rPr>
    </w:lvl>
  </w:abstractNum>
  <w:abstractNum w:abstractNumId="12">
    <w:nsid w:val="2C2B35D7"/>
    <w:multiLevelType w:val="multilevel"/>
    <w:tmpl w:val="4CD05416"/>
    <w:lvl w:ilvl="0">
      <w:start w:val="4"/>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nsid w:val="2F6739B9"/>
    <w:multiLevelType w:val="hybridMultilevel"/>
    <w:tmpl w:val="461E400C"/>
    <w:lvl w:ilvl="0" w:tplc="6820212E">
      <w:start w:val="1"/>
      <w:numFmt w:val="decimal"/>
      <w:lvlText w:val="%1."/>
      <w:lvlJc w:val="left"/>
      <w:pPr>
        <w:ind w:left="1275" w:hanging="360"/>
      </w:pPr>
      <w:rPr>
        <w:rFonts w:cs="Times New Roman" w:hint="default"/>
        <w:b/>
      </w:rPr>
    </w:lvl>
    <w:lvl w:ilvl="1" w:tplc="04020019" w:tentative="1">
      <w:start w:val="1"/>
      <w:numFmt w:val="lowerLetter"/>
      <w:lvlText w:val="%2."/>
      <w:lvlJc w:val="left"/>
      <w:pPr>
        <w:ind w:left="1995" w:hanging="360"/>
      </w:pPr>
      <w:rPr>
        <w:rFonts w:cs="Times New Roman"/>
      </w:rPr>
    </w:lvl>
    <w:lvl w:ilvl="2" w:tplc="0402001B" w:tentative="1">
      <w:start w:val="1"/>
      <w:numFmt w:val="lowerRoman"/>
      <w:lvlText w:val="%3."/>
      <w:lvlJc w:val="right"/>
      <w:pPr>
        <w:ind w:left="2715" w:hanging="180"/>
      </w:pPr>
      <w:rPr>
        <w:rFonts w:cs="Times New Roman"/>
      </w:rPr>
    </w:lvl>
    <w:lvl w:ilvl="3" w:tplc="0402000F" w:tentative="1">
      <w:start w:val="1"/>
      <w:numFmt w:val="decimal"/>
      <w:lvlText w:val="%4."/>
      <w:lvlJc w:val="left"/>
      <w:pPr>
        <w:ind w:left="3435" w:hanging="360"/>
      </w:pPr>
      <w:rPr>
        <w:rFonts w:cs="Times New Roman"/>
      </w:rPr>
    </w:lvl>
    <w:lvl w:ilvl="4" w:tplc="04020019" w:tentative="1">
      <w:start w:val="1"/>
      <w:numFmt w:val="lowerLetter"/>
      <w:lvlText w:val="%5."/>
      <w:lvlJc w:val="left"/>
      <w:pPr>
        <w:ind w:left="4155" w:hanging="360"/>
      </w:pPr>
      <w:rPr>
        <w:rFonts w:cs="Times New Roman"/>
      </w:rPr>
    </w:lvl>
    <w:lvl w:ilvl="5" w:tplc="0402001B" w:tentative="1">
      <w:start w:val="1"/>
      <w:numFmt w:val="lowerRoman"/>
      <w:lvlText w:val="%6."/>
      <w:lvlJc w:val="right"/>
      <w:pPr>
        <w:ind w:left="4875" w:hanging="180"/>
      </w:pPr>
      <w:rPr>
        <w:rFonts w:cs="Times New Roman"/>
      </w:rPr>
    </w:lvl>
    <w:lvl w:ilvl="6" w:tplc="0402000F" w:tentative="1">
      <w:start w:val="1"/>
      <w:numFmt w:val="decimal"/>
      <w:lvlText w:val="%7."/>
      <w:lvlJc w:val="left"/>
      <w:pPr>
        <w:ind w:left="5595" w:hanging="360"/>
      </w:pPr>
      <w:rPr>
        <w:rFonts w:cs="Times New Roman"/>
      </w:rPr>
    </w:lvl>
    <w:lvl w:ilvl="7" w:tplc="04020019" w:tentative="1">
      <w:start w:val="1"/>
      <w:numFmt w:val="lowerLetter"/>
      <w:lvlText w:val="%8."/>
      <w:lvlJc w:val="left"/>
      <w:pPr>
        <w:ind w:left="6315" w:hanging="360"/>
      </w:pPr>
      <w:rPr>
        <w:rFonts w:cs="Times New Roman"/>
      </w:rPr>
    </w:lvl>
    <w:lvl w:ilvl="8" w:tplc="0402001B" w:tentative="1">
      <w:start w:val="1"/>
      <w:numFmt w:val="lowerRoman"/>
      <w:lvlText w:val="%9."/>
      <w:lvlJc w:val="right"/>
      <w:pPr>
        <w:ind w:left="7035" w:hanging="180"/>
      </w:pPr>
      <w:rPr>
        <w:rFonts w:cs="Times New Roman"/>
      </w:rPr>
    </w:lvl>
  </w:abstractNum>
  <w:abstractNum w:abstractNumId="14">
    <w:nsid w:val="3226228A"/>
    <w:multiLevelType w:val="hybridMultilevel"/>
    <w:tmpl w:val="7F6E4040"/>
    <w:lvl w:ilvl="0" w:tplc="DDA6E038">
      <w:start w:val="1"/>
      <w:numFmt w:val="decimal"/>
      <w:lvlText w:val="(%1)"/>
      <w:lvlJc w:val="left"/>
      <w:pPr>
        <w:tabs>
          <w:tab w:val="num" w:pos="540"/>
        </w:tabs>
        <w:ind w:left="540" w:hanging="360"/>
      </w:pPr>
      <w:rPr>
        <w:rFonts w:cs="Times New Roman" w:hint="default"/>
      </w:rPr>
    </w:lvl>
    <w:lvl w:ilvl="1" w:tplc="0E541900">
      <w:start w:val="1"/>
      <w:numFmt w:val="decimal"/>
      <w:lvlText w:val="%2."/>
      <w:lvlJc w:val="left"/>
      <w:pPr>
        <w:tabs>
          <w:tab w:val="num" w:pos="1040"/>
        </w:tabs>
        <w:ind w:left="6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2360427"/>
    <w:multiLevelType w:val="hybridMultilevel"/>
    <w:tmpl w:val="E10E55B4"/>
    <w:lvl w:ilvl="0" w:tplc="48EE611A">
      <w:start w:val="1"/>
      <w:numFmt w:val="decimal"/>
      <w:lvlText w:val="%1."/>
      <w:lvlJc w:val="left"/>
      <w:pPr>
        <w:ind w:left="2136" w:hanging="720"/>
      </w:pPr>
      <w:rPr>
        <w:rFonts w:cs="Times New Roman" w:hint="default"/>
      </w:rPr>
    </w:lvl>
    <w:lvl w:ilvl="1" w:tplc="04020019" w:tentative="1">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16">
    <w:nsid w:val="323C6BF4"/>
    <w:multiLevelType w:val="hybridMultilevel"/>
    <w:tmpl w:val="322C14AC"/>
    <w:lvl w:ilvl="0" w:tplc="F85C6E2E">
      <w:start w:val="1"/>
      <w:numFmt w:val="decimal"/>
      <w:lvlText w:val="(%1)"/>
      <w:lvlJc w:val="left"/>
      <w:pPr>
        <w:tabs>
          <w:tab w:val="num" w:pos="744"/>
        </w:tabs>
        <w:ind w:left="744" w:hanging="3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4D62ADF"/>
    <w:multiLevelType w:val="hybridMultilevel"/>
    <w:tmpl w:val="9E7C8B62"/>
    <w:lvl w:ilvl="0" w:tplc="236EAAA8">
      <w:start w:val="8"/>
      <w:numFmt w:val="decimal"/>
      <w:lvlText w:val="%1."/>
      <w:lvlJc w:val="left"/>
      <w:pPr>
        <w:ind w:left="1551" w:hanging="360"/>
      </w:pPr>
      <w:rPr>
        <w:rFonts w:cs="Times New Roman" w:hint="default"/>
      </w:rPr>
    </w:lvl>
    <w:lvl w:ilvl="1" w:tplc="04020019" w:tentative="1">
      <w:start w:val="1"/>
      <w:numFmt w:val="lowerLetter"/>
      <w:lvlText w:val="%2."/>
      <w:lvlJc w:val="left"/>
      <w:pPr>
        <w:ind w:left="2271" w:hanging="360"/>
      </w:pPr>
      <w:rPr>
        <w:rFonts w:cs="Times New Roman"/>
      </w:rPr>
    </w:lvl>
    <w:lvl w:ilvl="2" w:tplc="0402001B" w:tentative="1">
      <w:start w:val="1"/>
      <w:numFmt w:val="lowerRoman"/>
      <w:lvlText w:val="%3."/>
      <w:lvlJc w:val="right"/>
      <w:pPr>
        <w:ind w:left="2991" w:hanging="180"/>
      </w:pPr>
      <w:rPr>
        <w:rFonts w:cs="Times New Roman"/>
      </w:rPr>
    </w:lvl>
    <w:lvl w:ilvl="3" w:tplc="0402000F" w:tentative="1">
      <w:start w:val="1"/>
      <w:numFmt w:val="decimal"/>
      <w:lvlText w:val="%4."/>
      <w:lvlJc w:val="left"/>
      <w:pPr>
        <w:ind w:left="3711" w:hanging="360"/>
      </w:pPr>
      <w:rPr>
        <w:rFonts w:cs="Times New Roman"/>
      </w:rPr>
    </w:lvl>
    <w:lvl w:ilvl="4" w:tplc="04020019" w:tentative="1">
      <w:start w:val="1"/>
      <w:numFmt w:val="lowerLetter"/>
      <w:lvlText w:val="%5."/>
      <w:lvlJc w:val="left"/>
      <w:pPr>
        <w:ind w:left="4431" w:hanging="360"/>
      </w:pPr>
      <w:rPr>
        <w:rFonts w:cs="Times New Roman"/>
      </w:rPr>
    </w:lvl>
    <w:lvl w:ilvl="5" w:tplc="0402001B" w:tentative="1">
      <w:start w:val="1"/>
      <w:numFmt w:val="lowerRoman"/>
      <w:lvlText w:val="%6."/>
      <w:lvlJc w:val="right"/>
      <w:pPr>
        <w:ind w:left="5151" w:hanging="180"/>
      </w:pPr>
      <w:rPr>
        <w:rFonts w:cs="Times New Roman"/>
      </w:rPr>
    </w:lvl>
    <w:lvl w:ilvl="6" w:tplc="0402000F" w:tentative="1">
      <w:start w:val="1"/>
      <w:numFmt w:val="decimal"/>
      <w:lvlText w:val="%7."/>
      <w:lvlJc w:val="left"/>
      <w:pPr>
        <w:ind w:left="5871" w:hanging="360"/>
      </w:pPr>
      <w:rPr>
        <w:rFonts w:cs="Times New Roman"/>
      </w:rPr>
    </w:lvl>
    <w:lvl w:ilvl="7" w:tplc="04020019" w:tentative="1">
      <w:start w:val="1"/>
      <w:numFmt w:val="lowerLetter"/>
      <w:lvlText w:val="%8."/>
      <w:lvlJc w:val="left"/>
      <w:pPr>
        <w:ind w:left="6591" w:hanging="360"/>
      </w:pPr>
      <w:rPr>
        <w:rFonts w:cs="Times New Roman"/>
      </w:rPr>
    </w:lvl>
    <w:lvl w:ilvl="8" w:tplc="0402001B" w:tentative="1">
      <w:start w:val="1"/>
      <w:numFmt w:val="lowerRoman"/>
      <w:lvlText w:val="%9."/>
      <w:lvlJc w:val="right"/>
      <w:pPr>
        <w:ind w:left="7311" w:hanging="180"/>
      </w:pPr>
      <w:rPr>
        <w:rFonts w:cs="Times New Roman"/>
      </w:rPr>
    </w:lvl>
  </w:abstractNum>
  <w:abstractNum w:abstractNumId="18">
    <w:nsid w:val="35DA2955"/>
    <w:multiLevelType w:val="hybridMultilevel"/>
    <w:tmpl w:val="843A1246"/>
    <w:lvl w:ilvl="0" w:tplc="E25CA6F4">
      <w:start w:val="10"/>
      <w:numFmt w:val="decimal"/>
      <w:lvlText w:val="%1."/>
      <w:lvlJc w:val="left"/>
      <w:pPr>
        <w:tabs>
          <w:tab w:val="num" w:pos="831"/>
        </w:tabs>
        <w:ind w:left="831" w:hanging="405"/>
      </w:pPr>
      <w:rPr>
        <w:rFonts w:cs="Times New Roman" w:hint="default"/>
      </w:rPr>
    </w:lvl>
    <w:lvl w:ilvl="1" w:tplc="04020019" w:tentative="1">
      <w:start w:val="1"/>
      <w:numFmt w:val="lowerLetter"/>
      <w:lvlText w:val="%2."/>
      <w:lvlJc w:val="left"/>
      <w:pPr>
        <w:tabs>
          <w:tab w:val="num" w:pos="1506"/>
        </w:tabs>
        <w:ind w:left="1506" w:hanging="360"/>
      </w:pPr>
      <w:rPr>
        <w:rFonts w:cs="Times New Roman"/>
      </w:rPr>
    </w:lvl>
    <w:lvl w:ilvl="2" w:tplc="0402001B" w:tentative="1">
      <w:start w:val="1"/>
      <w:numFmt w:val="lowerRoman"/>
      <w:lvlText w:val="%3."/>
      <w:lvlJc w:val="right"/>
      <w:pPr>
        <w:tabs>
          <w:tab w:val="num" w:pos="2226"/>
        </w:tabs>
        <w:ind w:left="2226" w:hanging="180"/>
      </w:pPr>
      <w:rPr>
        <w:rFonts w:cs="Times New Roman"/>
      </w:rPr>
    </w:lvl>
    <w:lvl w:ilvl="3" w:tplc="0402000F" w:tentative="1">
      <w:start w:val="1"/>
      <w:numFmt w:val="decimal"/>
      <w:lvlText w:val="%4."/>
      <w:lvlJc w:val="left"/>
      <w:pPr>
        <w:tabs>
          <w:tab w:val="num" w:pos="2946"/>
        </w:tabs>
        <w:ind w:left="2946" w:hanging="360"/>
      </w:pPr>
      <w:rPr>
        <w:rFonts w:cs="Times New Roman"/>
      </w:rPr>
    </w:lvl>
    <w:lvl w:ilvl="4" w:tplc="04020019" w:tentative="1">
      <w:start w:val="1"/>
      <w:numFmt w:val="lowerLetter"/>
      <w:lvlText w:val="%5."/>
      <w:lvlJc w:val="left"/>
      <w:pPr>
        <w:tabs>
          <w:tab w:val="num" w:pos="3666"/>
        </w:tabs>
        <w:ind w:left="3666" w:hanging="360"/>
      </w:pPr>
      <w:rPr>
        <w:rFonts w:cs="Times New Roman"/>
      </w:rPr>
    </w:lvl>
    <w:lvl w:ilvl="5" w:tplc="0402001B" w:tentative="1">
      <w:start w:val="1"/>
      <w:numFmt w:val="lowerRoman"/>
      <w:lvlText w:val="%6."/>
      <w:lvlJc w:val="right"/>
      <w:pPr>
        <w:tabs>
          <w:tab w:val="num" w:pos="4386"/>
        </w:tabs>
        <w:ind w:left="4386" w:hanging="180"/>
      </w:pPr>
      <w:rPr>
        <w:rFonts w:cs="Times New Roman"/>
      </w:rPr>
    </w:lvl>
    <w:lvl w:ilvl="6" w:tplc="0402000F" w:tentative="1">
      <w:start w:val="1"/>
      <w:numFmt w:val="decimal"/>
      <w:lvlText w:val="%7."/>
      <w:lvlJc w:val="left"/>
      <w:pPr>
        <w:tabs>
          <w:tab w:val="num" w:pos="5106"/>
        </w:tabs>
        <w:ind w:left="5106" w:hanging="360"/>
      </w:pPr>
      <w:rPr>
        <w:rFonts w:cs="Times New Roman"/>
      </w:rPr>
    </w:lvl>
    <w:lvl w:ilvl="7" w:tplc="04020019" w:tentative="1">
      <w:start w:val="1"/>
      <w:numFmt w:val="lowerLetter"/>
      <w:lvlText w:val="%8."/>
      <w:lvlJc w:val="left"/>
      <w:pPr>
        <w:tabs>
          <w:tab w:val="num" w:pos="5826"/>
        </w:tabs>
        <w:ind w:left="5826" w:hanging="360"/>
      </w:pPr>
      <w:rPr>
        <w:rFonts w:cs="Times New Roman"/>
      </w:rPr>
    </w:lvl>
    <w:lvl w:ilvl="8" w:tplc="0402001B" w:tentative="1">
      <w:start w:val="1"/>
      <w:numFmt w:val="lowerRoman"/>
      <w:lvlText w:val="%9."/>
      <w:lvlJc w:val="right"/>
      <w:pPr>
        <w:tabs>
          <w:tab w:val="num" w:pos="6546"/>
        </w:tabs>
        <w:ind w:left="6546" w:hanging="180"/>
      </w:pPr>
      <w:rPr>
        <w:rFonts w:cs="Times New Roman"/>
      </w:rPr>
    </w:lvl>
  </w:abstractNum>
  <w:abstractNum w:abstractNumId="19">
    <w:nsid w:val="39040FF7"/>
    <w:multiLevelType w:val="hybridMultilevel"/>
    <w:tmpl w:val="BD5E3FFA"/>
    <w:lvl w:ilvl="0" w:tplc="B8A2A836">
      <w:start w:val="2"/>
      <w:numFmt w:val="bullet"/>
      <w:lvlText w:val=""/>
      <w:lvlJc w:val="left"/>
      <w:pPr>
        <w:ind w:left="377" w:hanging="360"/>
      </w:pPr>
      <w:rPr>
        <w:rFonts w:ascii="Symbol" w:eastAsia="Times New Roman" w:hAnsi="Symbol" w:cs="Times New Roman" w:hint="default"/>
      </w:rPr>
    </w:lvl>
    <w:lvl w:ilvl="1" w:tplc="04090003" w:tentative="1">
      <w:start w:val="1"/>
      <w:numFmt w:val="bullet"/>
      <w:lvlText w:val="o"/>
      <w:lvlJc w:val="left"/>
      <w:pPr>
        <w:ind w:left="1097" w:hanging="360"/>
      </w:pPr>
      <w:rPr>
        <w:rFonts w:ascii="Courier New" w:hAnsi="Courier New" w:cs="Courier New" w:hint="default"/>
      </w:rPr>
    </w:lvl>
    <w:lvl w:ilvl="2" w:tplc="04090005" w:tentative="1">
      <w:start w:val="1"/>
      <w:numFmt w:val="bullet"/>
      <w:lvlText w:val=""/>
      <w:lvlJc w:val="left"/>
      <w:pPr>
        <w:ind w:left="1817" w:hanging="360"/>
      </w:pPr>
      <w:rPr>
        <w:rFonts w:ascii="Wingdings" w:hAnsi="Wingdings" w:hint="default"/>
      </w:rPr>
    </w:lvl>
    <w:lvl w:ilvl="3" w:tplc="04090001" w:tentative="1">
      <w:start w:val="1"/>
      <w:numFmt w:val="bullet"/>
      <w:lvlText w:val=""/>
      <w:lvlJc w:val="left"/>
      <w:pPr>
        <w:ind w:left="2537" w:hanging="360"/>
      </w:pPr>
      <w:rPr>
        <w:rFonts w:ascii="Symbol" w:hAnsi="Symbol" w:hint="default"/>
      </w:rPr>
    </w:lvl>
    <w:lvl w:ilvl="4" w:tplc="04090003" w:tentative="1">
      <w:start w:val="1"/>
      <w:numFmt w:val="bullet"/>
      <w:lvlText w:val="o"/>
      <w:lvlJc w:val="left"/>
      <w:pPr>
        <w:ind w:left="3257" w:hanging="360"/>
      </w:pPr>
      <w:rPr>
        <w:rFonts w:ascii="Courier New" w:hAnsi="Courier New" w:cs="Courier New" w:hint="default"/>
      </w:rPr>
    </w:lvl>
    <w:lvl w:ilvl="5" w:tplc="04090005" w:tentative="1">
      <w:start w:val="1"/>
      <w:numFmt w:val="bullet"/>
      <w:lvlText w:val=""/>
      <w:lvlJc w:val="left"/>
      <w:pPr>
        <w:ind w:left="3977" w:hanging="360"/>
      </w:pPr>
      <w:rPr>
        <w:rFonts w:ascii="Wingdings" w:hAnsi="Wingdings" w:hint="default"/>
      </w:rPr>
    </w:lvl>
    <w:lvl w:ilvl="6" w:tplc="04090001" w:tentative="1">
      <w:start w:val="1"/>
      <w:numFmt w:val="bullet"/>
      <w:lvlText w:val=""/>
      <w:lvlJc w:val="left"/>
      <w:pPr>
        <w:ind w:left="4697" w:hanging="360"/>
      </w:pPr>
      <w:rPr>
        <w:rFonts w:ascii="Symbol" w:hAnsi="Symbol" w:hint="default"/>
      </w:rPr>
    </w:lvl>
    <w:lvl w:ilvl="7" w:tplc="04090003" w:tentative="1">
      <w:start w:val="1"/>
      <w:numFmt w:val="bullet"/>
      <w:lvlText w:val="o"/>
      <w:lvlJc w:val="left"/>
      <w:pPr>
        <w:ind w:left="5417" w:hanging="360"/>
      </w:pPr>
      <w:rPr>
        <w:rFonts w:ascii="Courier New" w:hAnsi="Courier New" w:cs="Courier New" w:hint="default"/>
      </w:rPr>
    </w:lvl>
    <w:lvl w:ilvl="8" w:tplc="04090005" w:tentative="1">
      <w:start w:val="1"/>
      <w:numFmt w:val="bullet"/>
      <w:lvlText w:val=""/>
      <w:lvlJc w:val="left"/>
      <w:pPr>
        <w:ind w:left="6137" w:hanging="360"/>
      </w:pPr>
      <w:rPr>
        <w:rFonts w:ascii="Wingdings" w:hAnsi="Wingdings" w:hint="default"/>
      </w:rPr>
    </w:lvl>
  </w:abstractNum>
  <w:abstractNum w:abstractNumId="20">
    <w:nsid w:val="3A575CC9"/>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1">
    <w:nsid w:val="3B3B09F6"/>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nsid w:val="3F027801"/>
    <w:multiLevelType w:val="hybridMultilevel"/>
    <w:tmpl w:val="188C35BE"/>
    <w:lvl w:ilvl="0" w:tplc="BDC00750">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3">
    <w:nsid w:val="434200F6"/>
    <w:multiLevelType w:val="hybridMultilevel"/>
    <w:tmpl w:val="88EAF518"/>
    <w:lvl w:ilvl="0" w:tplc="D09A5E92">
      <w:start w:val="1"/>
      <w:numFmt w:val="decimal"/>
      <w:lvlText w:val="(%1)"/>
      <w:lvlJc w:val="left"/>
      <w:pPr>
        <w:tabs>
          <w:tab w:val="num" w:pos="756"/>
        </w:tabs>
        <w:ind w:left="756" w:hanging="39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88F53CD"/>
    <w:multiLevelType w:val="hybridMultilevel"/>
    <w:tmpl w:val="8BE65878"/>
    <w:lvl w:ilvl="0" w:tplc="242861A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48E3621A"/>
    <w:multiLevelType w:val="hybridMultilevel"/>
    <w:tmpl w:val="902214C2"/>
    <w:lvl w:ilvl="0" w:tplc="0EAAFEBC">
      <w:start w:val="9"/>
      <w:numFmt w:val="decimal"/>
      <w:lvlText w:val="%1."/>
      <w:lvlJc w:val="left"/>
      <w:pPr>
        <w:ind w:left="1191" w:hanging="360"/>
      </w:pPr>
      <w:rPr>
        <w:rFonts w:cs="Times New Roman" w:hint="default"/>
      </w:rPr>
    </w:lvl>
    <w:lvl w:ilvl="1" w:tplc="04020019" w:tentative="1">
      <w:start w:val="1"/>
      <w:numFmt w:val="lowerLetter"/>
      <w:lvlText w:val="%2."/>
      <w:lvlJc w:val="left"/>
      <w:pPr>
        <w:ind w:left="1911" w:hanging="360"/>
      </w:pPr>
      <w:rPr>
        <w:rFonts w:cs="Times New Roman"/>
      </w:rPr>
    </w:lvl>
    <w:lvl w:ilvl="2" w:tplc="0402001B" w:tentative="1">
      <w:start w:val="1"/>
      <w:numFmt w:val="lowerRoman"/>
      <w:lvlText w:val="%3."/>
      <w:lvlJc w:val="right"/>
      <w:pPr>
        <w:ind w:left="2631" w:hanging="180"/>
      </w:pPr>
      <w:rPr>
        <w:rFonts w:cs="Times New Roman"/>
      </w:rPr>
    </w:lvl>
    <w:lvl w:ilvl="3" w:tplc="0402000F" w:tentative="1">
      <w:start w:val="1"/>
      <w:numFmt w:val="decimal"/>
      <w:lvlText w:val="%4."/>
      <w:lvlJc w:val="left"/>
      <w:pPr>
        <w:ind w:left="3351" w:hanging="360"/>
      </w:pPr>
      <w:rPr>
        <w:rFonts w:cs="Times New Roman"/>
      </w:rPr>
    </w:lvl>
    <w:lvl w:ilvl="4" w:tplc="04020019" w:tentative="1">
      <w:start w:val="1"/>
      <w:numFmt w:val="lowerLetter"/>
      <w:lvlText w:val="%5."/>
      <w:lvlJc w:val="left"/>
      <w:pPr>
        <w:ind w:left="4071" w:hanging="360"/>
      </w:pPr>
      <w:rPr>
        <w:rFonts w:cs="Times New Roman"/>
      </w:rPr>
    </w:lvl>
    <w:lvl w:ilvl="5" w:tplc="0402001B" w:tentative="1">
      <w:start w:val="1"/>
      <w:numFmt w:val="lowerRoman"/>
      <w:lvlText w:val="%6."/>
      <w:lvlJc w:val="right"/>
      <w:pPr>
        <w:ind w:left="4791" w:hanging="180"/>
      </w:pPr>
      <w:rPr>
        <w:rFonts w:cs="Times New Roman"/>
      </w:rPr>
    </w:lvl>
    <w:lvl w:ilvl="6" w:tplc="0402000F" w:tentative="1">
      <w:start w:val="1"/>
      <w:numFmt w:val="decimal"/>
      <w:lvlText w:val="%7."/>
      <w:lvlJc w:val="left"/>
      <w:pPr>
        <w:ind w:left="5511" w:hanging="360"/>
      </w:pPr>
      <w:rPr>
        <w:rFonts w:cs="Times New Roman"/>
      </w:rPr>
    </w:lvl>
    <w:lvl w:ilvl="7" w:tplc="04020019" w:tentative="1">
      <w:start w:val="1"/>
      <w:numFmt w:val="lowerLetter"/>
      <w:lvlText w:val="%8."/>
      <w:lvlJc w:val="left"/>
      <w:pPr>
        <w:ind w:left="6231" w:hanging="360"/>
      </w:pPr>
      <w:rPr>
        <w:rFonts w:cs="Times New Roman"/>
      </w:rPr>
    </w:lvl>
    <w:lvl w:ilvl="8" w:tplc="0402001B" w:tentative="1">
      <w:start w:val="1"/>
      <w:numFmt w:val="lowerRoman"/>
      <w:lvlText w:val="%9."/>
      <w:lvlJc w:val="right"/>
      <w:pPr>
        <w:ind w:left="6951" w:hanging="180"/>
      </w:pPr>
      <w:rPr>
        <w:rFonts w:cs="Times New Roman"/>
      </w:rPr>
    </w:lvl>
  </w:abstractNum>
  <w:abstractNum w:abstractNumId="26">
    <w:nsid w:val="498E1F3C"/>
    <w:multiLevelType w:val="hybridMultilevel"/>
    <w:tmpl w:val="919ED0EC"/>
    <w:lvl w:ilvl="0" w:tplc="A8C887B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A9C0069"/>
    <w:multiLevelType w:val="multilevel"/>
    <w:tmpl w:val="B4B8971A"/>
    <w:styleLink w:val="Style1"/>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851"/>
        </w:tabs>
        <w:ind w:left="851" w:hanging="851"/>
      </w:pPr>
      <w:rPr>
        <w:rFonts w:ascii="Times New Roman" w:hAnsi="Times New Roman" w:cs="Times New Roman" w:hint="default"/>
        <w:b w:val="0"/>
        <w:i w:val="0"/>
        <w:sz w:val="22"/>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4B01323B"/>
    <w:multiLevelType w:val="hybridMultilevel"/>
    <w:tmpl w:val="463CF0A4"/>
    <w:lvl w:ilvl="0" w:tplc="B5BC997A">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9">
    <w:nsid w:val="4B6E7D48"/>
    <w:multiLevelType w:val="hybridMultilevel"/>
    <w:tmpl w:val="AD484250"/>
    <w:lvl w:ilvl="0" w:tplc="772E9BE2">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CE53C61"/>
    <w:multiLevelType w:val="hybridMultilevel"/>
    <w:tmpl w:val="A92A25A0"/>
    <w:lvl w:ilvl="0" w:tplc="97F2BD8C">
      <w:start w:val="28"/>
      <w:numFmt w:val="decimal"/>
      <w:lvlText w:val="Чл.%1."/>
      <w:lvlJc w:val="left"/>
      <w:pPr>
        <w:tabs>
          <w:tab w:val="num" w:pos="0"/>
        </w:tabs>
        <w:ind w:left="170"/>
      </w:pPr>
      <w:rPr>
        <w:rFonts w:cs="Times New Roman" w:hint="default"/>
        <w:b/>
        <w:i w:val="0"/>
        <w:caps w:val="0"/>
        <w:strike w:val="0"/>
        <w:dstrike w:val="0"/>
        <w:shadow w:val="0"/>
        <w:emboss w:val="0"/>
        <w:imprint w:val="0"/>
        <w:vanish w:val="0"/>
        <w:sz w:val="24"/>
        <w:vertAlign w:val="baseline"/>
      </w:rPr>
    </w:lvl>
    <w:lvl w:ilvl="1" w:tplc="64F8F8EA">
      <w:start w:val="9"/>
      <w:numFmt w:val="decimal"/>
      <w:lvlText w:val="(%2)"/>
      <w:lvlJc w:val="left"/>
      <w:pPr>
        <w:tabs>
          <w:tab w:val="num" w:pos="0"/>
        </w:tabs>
      </w:pPr>
      <w:rPr>
        <w:rFonts w:cs="Times New Roman" w:hint="default"/>
        <w:b/>
        <w:i w:val="0"/>
        <w:caps w:val="0"/>
        <w:strike w:val="0"/>
        <w:dstrike w:val="0"/>
        <w:shadow w:val="0"/>
        <w:emboss w:val="0"/>
        <w:imprint w:val="0"/>
        <w:vanish w:val="0"/>
        <w:sz w:val="24"/>
        <w:vertAlign w:val="baseline"/>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1">
    <w:nsid w:val="4F7E56F1"/>
    <w:multiLevelType w:val="hybridMultilevel"/>
    <w:tmpl w:val="5488539E"/>
    <w:lvl w:ilvl="0" w:tplc="EC9E246A">
      <w:start w:val="9"/>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2">
    <w:nsid w:val="5342422D"/>
    <w:multiLevelType w:val="hybridMultilevel"/>
    <w:tmpl w:val="2242CA0E"/>
    <w:lvl w:ilvl="0" w:tplc="B9127FB8">
      <w:start w:val="8"/>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3">
    <w:nsid w:val="542D01D1"/>
    <w:multiLevelType w:val="hybridMultilevel"/>
    <w:tmpl w:val="7924DA4A"/>
    <w:lvl w:ilvl="0" w:tplc="CD5244C4">
      <w:start w:val="5"/>
      <w:numFmt w:val="decimal"/>
      <w:lvlText w:val="%1."/>
      <w:lvlJc w:val="left"/>
      <w:pPr>
        <w:tabs>
          <w:tab w:val="num" w:pos="680"/>
        </w:tabs>
        <w:ind w:left="680" w:hanging="6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84A4E8F"/>
    <w:multiLevelType w:val="hybridMultilevel"/>
    <w:tmpl w:val="2C3C4C6E"/>
    <w:lvl w:ilvl="0" w:tplc="A3B4A99A">
      <w:start w:val="1"/>
      <w:numFmt w:val="decimal"/>
      <w:lvlText w:val="(%1)"/>
      <w:lvlJc w:val="left"/>
      <w:pPr>
        <w:ind w:left="786" w:hanging="360"/>
      </w:pPr>
      <w:rPr>
        <w:rFonts w:cs="Times New Roman" w:hint="default"/>
      </w:rPr>
    </w:lvl>
    <w:lvl w:ilvl="1" w:tplc="04020019" w:tentative="1">
      <w:start w:val="1"/>
      <w:numFmt w:val="lowerLetter"/>
      <w:lvlText w:val="%2."/>
      <w:lvlJc w:val="left"/>
      <w:pPr>
        <w:ind w:left="1506" w:hanging="360"/>
      </w:pPr>
      <w:rPr>
        <w:rFonts w:cs="Times New Roman"/>
      </w:rPr>
    </w:lvl>
    <w:lvl w:ilvl="2" w:tplc="0402001B" w:tentative="1">
      <w:start w:val="1"/>
      <w:numFmt w:val="lowerRoman"/>
      <w:lvlText w:val="%3."/>
      <w:lvlJc w:val="right"/>
      <w:pPr>
        <w:ind w:left="2226" w:hanging="180"/>
      </w:pPr>
      <w:rPr>
        <w:rFonts w:cs="Times New Roman"/>
      </w:rPr>
    </w:lvl>
    <w:lvl w:ilvl="3" w:tplc="0402000F" w:tentative="1">
      <w:start w:val="1"/>
      <w:numFmt w:val="decimal"/>
      <w:lvlText w:val="%4."/>
      <w:lvlJc w:val="left"/>
      <w:pPr>
        <w:ind w:left="2946" w:hanging="360"/>
      </w:pPr>
      <w:rPr>
        <w:rFonts w:cs="Times New Roman"/>
      </w:rPr>
    </w:lvl>
    <w:lvl w:ilvl="4" w:tplc="04020019" w:tentative="1">
      <w:start w:val="1"/>
      <w:numFmt w:val="lowerLetter"/>
      <w:lvlText w:val="%5."/>
      <w:lvlJc w:val="left"/>
      <w:pPr>
        <w:ind w:left="3666" w:hanging="360"/>
      </w:pPr>
      <w:rPr>
        <w:rFonts w:cs="Times New Roman"/>
      </w:rPr>
    </w:lvl>
    <w:lvl w:ilvl="5" w:tplc="0402001B" w:tentative="1">
      <w:start w:val="1"/>
      <w:numFmt w:val="lowerRoman"/>
      <w:lvlText w:val="%6."/>
      <w:lvlJc w:val="right"/>
      <w:pPr>
        <w:ind w:left="4386" w:hanging="180"/>
      </w:pPr>
      <w:rPr>
        <w:rFonts w:cs="Times New Roman"/>
      </w:rPr>
    </w:lvl>
    <w:lvl w:ilvl="6" w:tplc="0402000F" w:tentative="1">
      <w:start w:val="1"/>
      <w:numFmt w:val="decimal"/>
      <w:lvlText w:val="%7."/>
      <w:lvlJc w:val="left"/>
      <w:pPr>
        <w:ind w:left="5106" w:hanging="360"/>
      </w:pPr>
      <w:rPr>
        <w:rFonts w:cs="Times New Roman"/>
      </w:rPr>
    </w:lvl>
    <w:lvl w:ilvl="7" w:tplc="04020019" w:tentative="1">
      <w:start w:val="1"/>
      <w:numFmt w:val="lowerLetter"/>
      <w:lvlText w:val="%8."/>
      <w:lvlJc w:val="left"/>
      <w:pPr>
        <w:ind w:left="5826" w:hanging="360"/>
      </w:pPr>
      <w:rPr>
        <w:rFonts w:cs="Times New Roman"/>
      </w:rPr>
    </w:lvl>
    <w:lvl w:ilvl="8" w:tplc="0402001B" w:tentative="1">
      <w:start w:val="1"/>
      <w:numFmt w:val="lowerRoman"/>
      <w:lvlText w:val="%9."/>
      <w:lvlJc w:val="right"/>
      <w:pPr>
        <w:ind w:left="6546" w:hanging="180"/>
      </w:pPr>
      <w:rPr>
        <w:rFonts w:cs="Times New Roman"/>
      </w:rPr>
    </w:lvl>
  </w:abstractNum>
  <w:abstractNum w:abstractNumId="35">
    <w:nsid w:val="59AD0C78"/>
    <w:multiLevelType w:val="hybridMultilevel"/>
    <w:tmpl w:val="F934E482"/>
    <w:lvl w:ilvl="0" w:tplc="48EE611A">
      <w:start w:val="1"/>
      <w:numFmt w:val="decimal"/>
      <w:lvlText w:val="%1."/>
      <w:lvlJc w:val="left"/>
      <w:pPr>
        <w:tabs>
          <w:tab w:val="num" w:pos="927"/>
        </w:tabs>
        <w:ind w:firstLine="567"/>
      </w:pPr>
      <w:rPr>
        <w:rFonts w:cs="Times New Roman" w:hint="default"/>
      </w:rPr>
    </w:lvl>
    <w:lvl w:ilvl="1" w:tplc="BDC00750">
      <w:start w:val="1"/>
      <w:numFmt w:val="bullet"/>
      <w:lvlText w:val=""/>
      <w:lvlJc w:val="left"/>
      <w:pPr>
        <w:tabs>
          <w:tab w:val="num" w:pos="644"/>
        </w:tabs>
        <w:ind w:left="567" w:hanging="283"/>
      </w:pPr>
      <w:rPr>
        <w:rFonts w:ascii="Symbol" w:hAnsi="Symbol" w:hint="default"/>
      </w:rPr>
    </w:lvl>
    <w:lvl w:ilvl="2" w:tplc="0DE42C16">
      <w:start w:val="3"/>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5C5D36B4"/>
    <w:multiLevelType w:val="hybridMultilevel"/>
    <w:tmpl w:val="20F8376A"/>
    <w:lvl w:ilvl="0" w:tplc="8CEE09D2">
      <w:start w:val="2"/>
      <w:numFmt w:val="bullet"/>
      <w:lvlText w:val=""/>
      <w:lvlJc w:val="left"/>
      <w:pPr>
        <w:ind w:left="737" w:hanging="360"/>
      </w:pPr>
      <w:rPr>
        <w:rFonts w:ascii="Symbol" w:eastAsia="Times New Roman" w:hAnsi="Symbol" w:cs="Times New Roman"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37">
    <w:nsid w:val="5EE71DFD"/>
    <w:multiLevelType w:val="hybridMultilevel"/>
    <w:tmpl w:val="64404C7E"/>
    <w:lvl w:ilvl="0" w:tplc="8DFEB5B4">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8">
    <w:nsid w:val="5FA455C1"/>
    <w:multiLevelType w:val="hybridMultilevel"/>
    <w:tmpl w:val="C16A7968"/>
    <w:lvl w:ilvl="0" w:tplc="02BAF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093FEC"/>
    <w:multiLevelType w:val="multilevel"/>
    <w:tmpl w:val="1D0A4F38"/>
    <w:lvl w:ilvl="0">
      <w:start w:val="100"/>
      <w:numFmt w:val="decimal"/>
      <w:lvlText w:val="Чл.%1."/>
      <w:lvlJc w:val="left"/>
      <w:pPr>
        <w:tabs>
          <w:tab w:val="num" w:pos="1080"/>
        </w:tabs>
        <w:ind w:left="360"/>
      </w:pPr>
      <w:rPr>
        <w:rFonts w:cs="Times New Roman" w:hint="default"/>
      </w:rPr>
    </w:lvl>
    <w:lvl w:ilvl="1">
      <w:start w:val="1"/>
      <w:numFmt w:val="decimalZero"/>
      <w:isLgl/>
      <w:lvlText w:val="Section %1.%2"/>
      <w:lvlJc w:val="left"/>
      <w:pPr>
        <w:tabs>
          <w:tab w:val="num" w:pos="1440"/>
        </w:tabs>
        <w:ind w:left="360"/>
      </w:pPr>
      <w:rPr>
        <w:rFonts w:cs="Times New Roman" w:hint="default"/>
      </w:rPr>
    </w:lvl>
    <w:lvl w:ilvl="2">
      <w:start w:val="1"/>
      <w:numFmt w:val="lowerLetter"/>
      <w:lvlText w:val="(%3)"/>
      <w:lvlJc w:val="left"/>
      <w:pPr>
        <w:tabs>
          <w:tab w:val="num" w:pos="1080"/>
        </w:tabs>
        <w:ind w:left="1080" w:hanging="432"/>
      </w:pPr>
      <w:rPr>
        <w:rFonts w:cs="Times New Roman" w:hint="default"/>
      </w:rPr>
    </w:lvl>
    <w:lvl w:ilvl="3">
      <w:start w:val="1"/>
      <w:numFmt w:val="lowerRoman"/>
      <w:lvlText w:val="(%4)"/>
      <w:lvlJc w:val="right"/>
      <w:pPr>
        <w:tabs>
          <w:tab w:val="num" w:pos="1224"/>
        </w:tabs>
        <w:ind w:left="1224" w:hanging="144"/>
      </w:pPr>
      <w:rPr>
        <w:rFonts w:cs="Times New Roman" w:hint="default"/>
      </w:rPr>
    </w:lvl>
    <w:lvl w:ilvl="4">
      <w:start w:val="1"/>
      <w:numFmt w:val="decimal"/>
      <w:lvlText w:val="%5)"/>
      <w:lvlJc w:val="left"/>
      <w:pPr>
        <w:tabs>
          <w:tab w:val="num" w:pos="1368"/>
        </w:tabs>
        <w:ind w:left="1368" w:hanging="432"/>
      </w:pPr>
      <w:rPr>
        <w:rFonts w:cs="Times New Roman" w:hint="default"/>
      </w:rPr>
    </w:lvl>
    <w:lvl w:ilvl="5">
      <w:start w:val="1"/>
      <w:numFmt w:val="lowerLetter"/>
      <w:lvlText w:val="%6)"/>
      <w:lvlJc w:val="left"/>
      <w:pPr>
        <w:tabs>
          <w:tab w:val="num" w:pos="1512"/>
        </w:tabs>
        <w:ind w:left="1512" w:hanging="432"/>
      </w:pPr>
      <w:rPr>
        <w:rFonts w:cs="Times New Roman" w:hint="default"/>
      </w:rPr>
    </w:lvl>
    <w:lvl w:ilvl="6">
      <w:start w:val="1"/>
      <w:numFmt w:val="lowerRoman"/>
      <w:lvlText w:val="%7)"/>
      <w:lvlJc w:val="right"/>
      <w:pPr>
        <w:tabs>
          <w:tab w:val="num" w:pos="1656"/>
        </w:tabs>
        <w:ind w:left="1656" w:hanging="288"/>
      </w:pPr>
      <w:rPr>
        <w:rFonts w:cs="Times New Roman" w:hint="default"/>
      </w:rPr>
    </w:lvl>
    <w:lvl w:ilvl="7">
      <w:start w:val="1"/>
      <w:numFmt w:val="lowerLetter"/>
      <w:lvlText w:val="%8."/>
      <w:lvlJc w:val="left"/>
      <w:pPr>
        <w:tabs>
          <w:tab w:val="num" w:pos="1800"/>
        </w:tabs>
        <w:ind w:left="1800" w:hanging="432"/>
      </w:pPr>
      <w:rPr>
        <w:rFonts w:cs="Times New Roman" w:hint="default"/>
      </w:rPr>
    </w:lvl>
    <w:lvl w:ilvl="8">
      <w:start w:val="1"/>
      <w:numFmt w:val="lowerRoman"/>
      <w:lvlText w:val="%9."/>
      <w:lvlJc w:val="right"/>
      <w:pPr>
        <w:tabs>
          <w:tab w:val="num" w:pos="1944"/>
        </w:tabs>
        <w:ind w:left="1944" w:hanging="144"/>
      </w:pPr>
      <w:rPr>
        <w:rFonts w:cs="Times New Roman" w:hint="default"/>
      </w:rPr>
    </w:lvl>
  </w:abstractNum>
  <w:abstractNum w:abstractNumId="40">
    <w:nsid w:val="6B155BEF"/>
    <w:multiLevelType w:val="hybridMultilevel"/>
    <w:tmpl w:val="AEA0D35E"/>
    <w:lvl w:ilvl="0" w:tplc="C7C44C0A">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1">
    <w:nsid w:val="6D4F2FAC"/>
    <w:multiLevelType w:val="hybridMultilevel"/>
    <w:tmpl w:val="2A2C4330"/>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2">
    <w:nsid w:val="746D4B00"/>
    <w:multiLevelType w:val="hybridMultilevel"/>
    <w:tmpl w:val="8B0CF580"/>
    <w:lvl w:ilvl="0" w:tplc="5922D900">
      <w:start w:val="1"/>
      <w:numFmt w:val="lowerRoman"/>
      <w:lvlText w:val="%1."/>
      <w:lvlJc w:val="left"/>
      <w:pPr>
        <w:ind w:left="1428" w:hanging="72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43">
    <w:nsid w:val="77775F5C"/>
    <w:multiLevelType w:val="hybridMultilevel"/>
    <w:tmpl w:val="131EC57E"/>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4">
    <w:nsid w:val="7A2A64E0"/>
    <w:multiLevelType w:val="hybridMultilevel"/>
    <w:tmpl w:val="5608E5A2"/>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5">
    <w:nsid w:val="7AAA1FBD"/>
    <w:multiLevelType w:val="multilevel"/>
    <w:tmpl w:val="16FC4996"/>
    <w:lvl w:ilvl="0">
      <w:start w:val="1"/>
      <w:numFmt w:val="none"/>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46">
    <w:nsid w:val="7D1D2116"/>
    <w:multiLevelType w:val="hybridMultilevel"/>
    <w:tmpl w:val="DC10E6AA"/>
    <w:lvl w:ilvl="0" w:tplc="0A083CB8">
      <w:start w:val="1"/>
      <w:numFmt w:val="bullet"/>
      <w:lvlText w:val=""/>
      <w:lvlJc w:val="left"/>
      <w:pPr>
        <w:tabs>
          <w:tab w:val="num" w:pos="416"/>
        </w:tabs>
        <w:ind w:left="56"/>
      </w:pPr>
      <w:rPr>
        <w:rFonts w:ascii="Symbol" w:hAnsi="Symbol" w:hint="default"/>
        <w:color w:val="auto"/>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47">
    <w:nsid w:val="7DA16EA8"/>
    <w:multiLevelType w:val="hybridMultilevel"/>
    <w:tmpl w:val="F3082EE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8">
    <w:nsid w:val="7FBC2CB5"/>
    <w:multiLevelType w:val="hybridMultilevel"/>
    <w:tmpl w:val="461E400C"/>
    <w:lvl w:ilvl="0" w:tplc="6820212E">
      <w:start w:val="1"/>
      <w:numFmt w:val="decimal"/>
      <w:lvlText w:val="%1."/>
      <w:lvlJc w:val="left"/>
      <w:pPr>
        <w:ind w:left="1275" w:hanging="360"/>
      </w:pPr>
      <w:rPr>
        <w:rFonts w:cs="Times New Roman" w:hint="default"/>
        <w:b/>
      </w:rPr>
    </w:lvl>
    <w:lvl w:ilvl="1" w:tplc="04020019" w:tentative="1">
      <w:start w:val="1"/>
      <w:numFmt w:val="lowerLetter"/>
      <w:lvlText w:val="%2."/>
      <w:lvlJc w:val="left"/>
      <w:pPr>
        <w:ind w:left="1995" w:hanging="360"/>
      </w:pPr>
      <w:rPr>
        <w:rFonts w:cs="Times New Roman"/>
      </w:rPr>
    </w:lvl>
    <w:lvl w:ilvl="2" w:tplc="0402001B" w:tentative="1">
      <w:start w:val="1"/>
      <w:numFmt w:val="lowerRoman"/>
      <w:lvlText w:val="%3."/>
      <w:lvlJc w:val="right"/>
      <w:pPr>
        <w:ind w:left="2715" w:hanging="180"/>
      </w:pPr>
      <w:rPr>
        <w:rFonts w:cs="Times New Roman"/>
      </w:rPr>
    </w:lvl>
    <w:lvl w:ilvl="3" w:tplc="0402000F" w:tentative="1">
      <w:start w:val="1"/>
      <w:numFmt w:val="decimal"/>
      <w:lvlText w:val="%4."/>
      <w:lvlJc w:val="left"/>
      <w:pPr>
        <w:ind w:left="3435" w:hanging="360"/>
      </w:pPr>
      <w:rPr>
        <w:rFonts w:cs="Times New Roman"/>
      </w:rPr>
    </w:lvl>
    <w:lvl w:ilvl="4" w:tplc="04020019" w:tentative="1">
      <w:start w:val="1"/>
      <w:numFmt w:val="lowerLetter"/>
      <w:lvlText w:val="%5."/>
      <w:lvlJc w:val="left"/>
      <w:pPr>
        <w:ind w:left="4155" w:hanging="360"/>
      </w:pPr>
      <w:rPr>
        <w:rFonts w:cs="Times New Roman"/>
      </w:rPr>
    </w:lvl>
    <w:lvl w:ilvl="5" w:tplc="0402001B" w:tentative="1">
      <w:start w:val="1"/>
      <w:numFmt w:val="lowerRoman"/>
      <w:lvlText w:val="%6."/>
      <w:lvlJc w:val="right"/>
      <w:pPr>
        <w:ind w:left="4875" w:hanging="180"/>
      </w:pPr>
      <w:rPr>
        <w:rFonts w:cs="Times New Roman"/>
      </w:rPr>
    </w:lvl>
    <w:lvl w:ilvl="6" w:tplc="0402000F" w:tentative="1">
      <w:start w:val="1"/>
      <w:numFmt w:val="decimal"/>
      <w:lvlText w:val="%7."/>
      <w:lvlJc w:val="left"/>
      <w:pPr>
        <w:ind w:left="5595" w:hanging="360"/>
      </w:pPr>
      <w:rPr>
        <w:rFonts w:cs="Times New Roman"/>
      </w:rPr>
    </w:lvl>
    <w:lvl w:ilvl="7" w:tplc="04020019" w:tentative="1">
      <w:start w:val="1"/>
      <w:numFmt w:val="lowerLetter"/>
      <w:lvlText w:val="%8."/>
      <w:lvlJc w:val="left"/>
      <w:pPr>
        <w:ind w:left="6315" w:hanging="360"/>
      </w:pPr>
      <w:rPr>
        <w:rFonts w:cs="Times New Roman"/>
      </w:rPr>
    </w:lvl>
    <w:lvl w:ilvl="8" w:tplc="0402001B" w:tentative="1">
      <w:start w:val="1"/>
      <w:numFmt w:val="lowerRoman"/>
      <w:lvlText w:val="%9."/>
      <w:lvlJc w:val="right"/>
      <w:pPr>
        <w:ind w:left="7035" w:hanging="180"/>
      </w:pPr>
      <w:rPr>
        <w:rFonts w:cs="Times New Roman"/>
      </w:rPr>
    </w:lvl>
  </w:abstractNum>
  <w:num w:numId="1">
    <w:abstractNumId w:val="6"/>
  </w:num>
  <w:num w:numId="2">
    <w:abstractNumId w:val="45"/>
  </w:num>
  <w:num w:numId="3">
    <w:abstractNumId w:val="10"/>
  </w:num>
  <w:num w:numId="4">
    <w:abstractNumId w:val="12"/>
  </w:num>
  <w:num w:numId="5">
    <w:abstractNumId w:val="29"/>
  </w:num>
  <w:num w:numId="6">
    <w:abstractNumId w:val="35"/>
  </w:num>
  <w:num w:numId="7">
    <w:abstractNumId w:val="39"/>
  </w:num>
  <w:num w:numId="8">
    <w:abstractNumId w:val="46"/>
  </w:num>
  <w:num w:numId="9">
    <w:abstractNumId w:val="26"/>
  </w:num>
  <w:num w:numId="10">
    <w:abstractNumId w:val="33"/>
  </w:num>
  <w:num w:numId="11">
    <w:abstractNumId w:val="23"/>
  </w:num>
  <w:num w:numId="12">
    <w:abstractNumId w:val="14"/>
  </w:num>
  <w:num w:numId="13">
    <w:abstractNumId w:val="9"/>
  </w:num>
  <w:num w:numId="14">
    <w:abstractNumId w:val="16"/>
  </w:num>
  <w:num w:numId="15">
    <w:abstractNumId w:val="7"/>
  </w:num>
  <w:num w:numId="16">
    <w:abstractNumId w:val="20"/>
  </w:num>
  <w:num w:numId="17">
    <w:abstractNumId w:val="3"/>
  </w:num>
  <w:num w:numId="18">
    <w:abstractNumId w:val="21"/>
  </w:num>
  <w:num w:numId="19">
    <w:abstractNumId w:val="30"/>
  </w:num>
  <w:num w:numId="20">
    <w:abstractNumId w:val="32"/>
  </w:num>
  <w:num w:numId="21">
    <w:abstractNumId w:val="31"/>
  </w:num>
  <w:num w:numId="22">
    <w:abstractNumId w:val="27"/>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4"/>
  </w:num>
  <w:num w:numId="27">
    <w:abstractNumId w:val="18"/>
  </w:num>
  <w:num w:numId="28">
    <w:abstractNumId w:val="25"/>
  </w:num>
  <w:num w:numId="29">
    <w:abstractNumId w:val="44"/>
  </w:num>
  <w:num w:numId="30">
    <w:abstractNumId w:val="41"/>
  </w:num>
  <w:num w:numId="31">
    <w:abstractNumId w:val="43"/>
  </w:num>
  <w:num w:numId="32">
    <w:abstractNumId w:val="47"/>
  </w:num>
  <w:num w:numId="33">
    <w:abstractNumId w:val="42"/>
  </w:num>
  <w:num w:numId="34">
    <w:abstractNumId w:val="8"/>
  </w:num>
  <w:num w:numId="35">
    <w:abstractNumId w:val="15"/>
  </w:num>
  <w:num w:numId="36">
    <w:abstractNumId w:val="0"/>
  </w:num>
  <w:num w:numId="37">
    <w:abstractNumId w:val="17"/>
  </w:num>
  <w:num w:numId="38">
    <w:abstractNumId w:val="22"/>
  </w:num>
  <w:num w:numId="39">
    <w:abstractNumId w:val="5"/>
  </w:num>
  <w:num w:numId="40">
    <w:abstractNumId w:val="37"/>
  </w:num>
  <w:num w:numId="41">
    <w:abstractNumId w:val="28"/>
  </w:num>
  <w:num w:numId="42">
    <w:abstractNumId w:val="48"/>
  </w:num>
  <w:num w:numId="43">
    <w:abstractNumId w:val="34"/>
  </w:num>
  <w:num w:numId="44">
    <w:abstractNumId w:val="40"/>
  </w:num>
  <w:num w:numId="45">
    <w:abstractNumId w:val="11"/>
  </w:num>
  <w:num w:numId="46">
    <w:abstractNumId w:val="13"/>
  </w:num>
  <w:num w:numId="47">
    <w:abstractNumId w:val="38"/>
  </w:num>
  <w:num w:numId="48">
    <w:abstractNumId w:val="19"/>
  </w:num>
  <w:num w:numId="49">
    <w:abstractNumId w:val="36"/>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rPr>
  </w:style>
  <w:style w:type="paragraph" w:styleId="Heading1">
    <w:name w:val="heading 1"/>
    <w:aliases w:val="level1,level 1,Nadpis 1"/>
    <w:basedOn w:val="Normal"/>
    <w:next w:val="BodyText"/>
    <w:link w:val="Heading1Char"/>
    <w:uiPriority w:val="99"/>
    <w:qFormat/>
    <w:pPr>
      <w:keepNext/>
      <w:spacing w:after="240"/>
      <w:outlineLvl w:val="0"/>
    </w:pPr>
    <w:rPr>
      <w:rFonts w:ascii="Times New Roman Bold" w:hAnsi="Times New Roman Bold" w:cs="Times New Roman Bold"/>
      <w:b/>
      <w:bCs/>
      <w:caps/>
      <w:kern w:val="32"/>
    </w:rPr>
  </w:style>
  <w:style w:type="paragraph" w:styleId="Heading2">
    <w:name w:val="heading 2"/>
    <w:aliases w:val="level 2,level2"/>
    <w:basedOn w:val="Normal"/>
    <w:next w:val="BodyText"/>
    <w:link w:val="Heading2Char"/>
    <w:uiPriority w:val="99"/>
    <w:qFormat/>
    <w:pPr>
      <w:keepNext/>
      <w:spacing w:after="240"/>
      <w:outlineLvl w:val="1"/>
    </w:pPr>
  </w:style>
  <w:style w:type="paragraph" w:styleId="Heading3">
    <w:name w:val="heading 3"/>
    <w:basedOn w:val="Normal"/>
    <w:next w:val="BodyText"/>
    <w:link w:val="Heading3Char"/>
    <w:uiPriority w:val="99"/>
    <w:qFormat/>
    <w:pPr>
      <w:keepNext/>
      <w:spacing w:after="240"/>
      <w:outlineLvl w:val="2"/>
    </w:pPr>
  </w:style>
  <w:style w:type="paragraph" w:styleId="Heading4">
    <w:name w:val="heading 4"/>
    <w:basedOn w:val="Normal"/>
    <w:next w:val="BodyText"/>
    <w:link w:val="Heading4Char"/>
    <w:uiPriority w:val="99"/>
    <w:qFormat/>
    <w:pPr>
      <w:keepNext/>
      <w:spacing w:after="120"/>
      <w:outlineLvl w:val="3"/>
    </w:pPr>
    <w:rPr>
      <w:szCs w:val="20"/>
    </w:rPr>
  </w:style>
  <w:style w:type="paragraph" w:styleId="Heading5">
    <w:name w:val="heading 5"/>
    <w:basedOn w:val="Normal"/>
    <w:next w:val="BodyText"/>
    <w:link w:val="Heading5Char"/>
    <w:uiPriority w:val="99"/>
    <w:qFormat/>
    <w:pPr>
      <w:spacing w:before="240" w:after="60"/>
      <w:outlineLvl w:val="4"/>
    </w:pPr>
    <w:rPr>
      <w:b/>
      <w:bCs/>
      <w:i/>
      <w:iCs/>
      <w:sz w:val="26"/>
      <w:szCs w:val="26"/>
    </w:rPr>
  </w:style>
  <w:style w:type="paragraph" w:styleId="Heading6">
    <w:name w:val="heading 6"/>
    <w:basedOn w:val="Normal"/>
    <w:next w:val="BodyText"/>
    <w:link w:val="Heading6Char"/>
    <w:uiPriority w:val="99"/>
    <w:qFormat/>
    <w:pPr>
      <w:spacing w:before="240" w:after="60"/>
      <w:outlineLvl w:val="5"/>
    </w:pPr>
    <w:rPr>
      <w:b/>
      <w:bCs/>
      <w:sz w:val="22"/>
      <w:szCs w:val="22"/>
    </w:rPr>
  </w:style>
  <w:style w:type="paragraph" w:styleId="Heading7">
    <w:name w:val="heading 7"/>
    <w:basedOn w:val="Normal"/>
    <w:next w:val="BodyText"/>
    <w:link w:val="Heading7Char"/>
    <w:uiPriority w:val="99"/>
    <w:qFormat/>
    <w:pPr>
      <w:numPr>
        <w:ilvl w:val="6"/>
        <w:numId w:val="2"/>
      </w:numPr>
      <w:spacing w:before="240" w:after="60"/>
      <w:outlineLvl w:val="6"/>
    </w:pPr>
  </w:style>
  <w:style w:type="paragraph" w:styleId="Heading8">
    <w:name w:val="heading 8"/>
    <w:basedOn w:val="Normal"/>
    <w:next w:val="BodyText"/>
    <w:link w:val="Heading8Char"/>
    <w:uiPriority w:val="99"/>
    <w:qFormat/>
    <w:pPr>
      <w:numPr>
        <w:ilvl w:val="7"/>
        <w:numId w:val="2"/>
      </w:numPr>
      <w:spacing w:before="240" w:after="60"/>
      <w:outlineLvl w:val="7"/>
    </w:pPr>
    <w:rPr>
      <w:i/>
      <w:iCs/>
    </w:rPr>
  </w:style>
  <w:style w:type="paragraph" w:styleId="Heading9">
    <w:name w:val="heading 9"/>
    <w:basedOn w:val="Normal"/>
    <w:next w:val="BodyText"/>
    <w:link w:val="Heading9Char"/>
    <w:uiPriority w:val="99"/>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level 1 Char,Nadpis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aliases w:val="level 2 Char,level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locked/>
    <w:rPr>
      <w:rFonts w:cs="Times New Roman"/>
      <w:sz w:val="24"/>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character" w:customStyle="1" w:styleId="DeltaViewInsertion">
    <w:name w:val="DeltaView Insertion"/>
    <w:uiPriority w:val="99"/>
    <w:rPr>
      <w:color w:val="0000FF"/>
      <w:spacing w:val="0"/>
      <w:u w:val="double"/>
    </w:rPr>
  </w:style>
  <w:style w:type="paragraph" w:styleId="BodyText2">
    <w:name w:val="Body Text 2"/>
    <w:basedOn w:val="Normal"/>
    <w:link w:val="BodyText2Char"/>
    <w:uiPriority w:val="99"/>
    <w:pPr>
      <w:jc w:val="both"/>
    </w:pPr>
    <w:rPr>
      <w:lang w:val="en-U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
    <w:name w:val="Body Text"/>
    <w:basedOn w:val="Normal"/>
    <w:link w:val="BodyTextChar"/>
    <w:uiPriority w:val="99"/>
    <w:pPr>
      <w:spacing w:after="120"/>
    </w:pPr>
    <w:rPr>
      <w:szCs w:val="20"/>
    </w:rPr>
  </w:style>
  <w:style w:type="character" w:customStyle="1" w:styleId="BodyTextChar">
    <w:name w:val="Body Text Char"/>
    <w:basedOn w:val="DefaultParagraphFont"/>
    <w:link w:val="BodyText"/>
    <w:uiPriority w:val="99"/>
    <w:locked/>
    <w:rPr>
      <w:rFonts w:cs="Times New Roman"/>
      <w:sz w:val="24"/>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PageNumber">
    <w:name w:val="page number"/>
    <w:basedOn w:val="DefaultParagraphFont"/>
    <w:uiPriority w:val="99"/>
    <w:rPr>
      <w:rFonts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customStyle="1" w:styleId="Style">
    <w:name w:val="Style"/>
    <w:uiPriority w:val="99"/>
    <w:pPr>
      <w:widowControl w:val="0"/>
      <w:autoSpaceDE w:val="0"/>
      <w:autoSpaceDN w:val="0"/>
      <w:ind w:left="140" w:right="140" w:firstLine="840"/>
      <w:jc w:val="both"/>
    </w:pPr>
    <w:rPr>
      <w:sz w:val="20"/>
      <w:szCs w:val="24"/>
      <w:lang w:val="en-AU"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pPr>
      <w:tabs>
        <w:tab w:val="center" w:pos="4703"/>
        <w:tab w:val="right" w:pos="94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703"/>
        <w:tab w:val="right" w:pos="94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Indent">
    <w:name w:val="Body Text Indent"/>
    <w:basedOn w:val="Normal"/>
    <w:link w:val="BodyTextIndentChar"/>
    <w:uiPriority w:val="99"/>
    <w:pPr>
      <w:ind w:left="17"/>
      <w:jc w:val="both"/>
    </w:pPr>
    <w:rPr>
      <w:lang w:val="ru-RU"/>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customStyle="1" w:styleId="CharCharCharCharCharChar">
    <w:name w:val="Char Char Char Char Char Char"/>
    <w:basedOn w:val="Normal"/>
    <w:autoRedefine/>
    <w:uiPriority w:val="99"/>
    <w:pPr>
      <w:tabs>
        <w:tab w:val="left" w:pos="709"/>
      </w:tabs>
      <w:spacing w:before="40" w:after="40"/>
      <w:jc w:val="both"/>
    </w:pPr>
    <w:rPr>
      <w:rFonts w:ascii="Arial" w:hAnsi="Arial"/>
      <w:lang w:val="pl-PL" w:eastAsia="pl-PL"/>
    </w:rPr>
  </w:style>
  <w:style w:type="character" w:customStyle="1" w:styleId="FontStyle28">
    <w:name w:val="Font Style28"/>
    <w:uiPriority w:val="99"/>
    <w:rPr>
      <w:rFonts w:ascii="Times New Roman" w:hAnsi="Times New Roman"/>
      <w:smallCaps/>
      <w:sz w:val="22"/>
    </w:rPr>
  </w:style>
  <w:style w:type="paragraph" w:customStyle="1" w:styleId="Style16">
    <w:name w:val="Style16"/>
    <w:basedOn w:val="Normal"/>
    <w:uiPriority w:val="99"/>
    <w:pPr>
      <w:widowControl w:val="0"/>
      <w:autoSpaceDE w:val="0"/>
      <w:autoSpaceDN w:val="0"/>
      <w:adjustRightInd w:val="0"/>
    </w:pPr>
  </w:style>
  <w:style w:type="paragraph" w:styleId="ListParagraph">
    <w:name w:val="List Paragraph"/>
    <w:basedOn w:val="Normal"/>
    <w:uiPriority w:val="99"/>
    <w:qFormat/>
    <w:pPr>
      <w:ind w:left="708"/>
    </w:pPr>
  </w:style>
  <w:style w:type="numbering" w:customStyle="1" w:styleId="Style1">
    <w:name w:val="Style1"/>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8596">
      <w:bodyDiv w:val="1"/>
      <w:marLeft w:val="0"/>
      <w:marRight w:val="0"/>
      <w:marTop w:val="0"/>
      <w:marBottom w:val="0"/>
      <w:divBdr>
        <w:top w:val="none" w:sz="0" w:space="0" w:color="auto"/>
        <w:left w:val="none" w:sz="0" w:space="0" w:color="auto"/>
        <w:bottom w:val="none" w:sz="0" w:space="0" w:color="auto"/>
        <w:right w:val="none" w:sz="0" w:space="0" w:color="auto"/>
      </w:divBdr>
    </w:div>
    <w:div w:id="127509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4005</Words>
  <Characters>23414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Д О Г О В О Р</vt:lpstr>
    </vt:vector>
  </TitlesOfParts>
  <Company>NEK</Company>
  <LinksUpToDate>false</LinksUpToDate>
  <CharactersWithSpaces>27365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JP</dc:creator>
  <dc:description>draft_11.01.07 to G.Stoilov</dc:description>
  <cp:lastModifiedBy>Anna Peteva</cp:lastModifiedBy>
  <cp:revision>6</cp:revision>
  <cp:lastPrinted>2015-08-27T12:22:00Z</cp:lastPrinted>
  <dcterms:created xsi:type="dcterms:W3CDTF">2015-08-27T11:52:00Z</dcterms:created>
  <dcterms:modified xsi:type="dcterms:W3CDTF">2015-08-27T14:20:00Z</dcterms:modified>
</cp:coreProperties>
</file>